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Number: 001-31326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-127635</wp:posOffset>
            </wp:positionV>
            <wp:extent cx="175768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680" cy="300355"/>
                    </a:xfrm>
                    <a:prstGeom prst="rect">
                      <a:avLst/>
                    </a:prstGeom>
                    <a:noFill/>
                  </pic:spPr>
                </pic:pic>
              </a:graphicData>
            </a:graphic>
          </wp:anchor>
        </w:drawing>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29014R103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228600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15" w:lineRule="exact"/>
        <w:rPr>
          <w:sz w:val="24"/>
          <w:szCs w:val="24"/>
          <w:color w:val="auto"/>
        </w:rPr>
      </w:pPr>
    </w:p>
    <w:p>
      <w:pPr>
        <w:ind w:left="3300" w:right="2900" w:hanging="1221"/>
        <w:spacing w:after="0" w:line="259" w:lineRule="exact"/>
        <w:tabs>
          <w:tab w:leader="none" w:pos="328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xml:space="preserve">  Form 10-Q</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N-SAR 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7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For Period Ended: December 31, 2024</w:t>
      </w:r>
    </w:p>
    <w:p>
      <w:pPr>
        <w:spacing w:after="0" w:line="184"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p>
      <w:pPr>
        <w:spacing w:after="0" w:line="9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p>
      <w:pPr>
        <w:spacing w:after="0" w:line="36" w:lineRule="exact"/>
        <w:rPr>
          <w:sz w:val="24"/>
          <w:szCs w:val="24"/>
          <w:color w:val="auto"/>
        </w:rPr>
      </w:pPr>
    </w:p>
    <w:p>
      <w:pPr>
        <w:ind w:left="3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N-SAR</w:t>
      </w:r>
    </w:p>
    <w:p>
      <w:pPr>
        <w:spacing w:after="0" w:line="206" w:lineRule="exact"/>
        <w:rPr>
          <w:sz w:val="24"/>
          <w:szCs w:val="24"/>
          <w:color w:val="auto"/>
        </w:rPr>
      </w:pPr>
    </w:p>
    <w:p>
      <w:pPr>
        <w:ind w:left="3300"/>
        <w:spacing w:after="0"/>
        <w:tabs>
          <w:tab w:leader="none" w:pos="5820" w:val="left"/>
          <w:tab w:leader="none" w:pos="6000" w:val="left"/>
          <w:tab w:leader="none" w:pos="6180" w:val="left"/>
          <w:tab w:leader="none" w:pos="6360" w:val="left"/>
          <w:tab w:leader="none" w:pos="6540" w:val="left"/>
          <w:tab w:leader="none" w:pos="6720" w:val="left"/>
          <w:tab w:leader="none" w:pos="6900" w:val="left"/>
          <w:tab w:leader="none" w:pos="7080" w:val="left"/>
          <w:tab w:leader="none" w:pos="7260" w:val="left"/>
          <w:tab w:leader="none" w:pos="7440" w:val="left"/>
          <w:tab w:leader="none" w:pos="7620" w:val="left"/>
          <w:tab w:leader="none" w:pos="7800" w:val="left"/>
          <w:tab w:leader="none" w:pos="7980" w:val="left"/>
          <w:tab w:leader="none" w:pos="8160" w:val="left"/>
          <w:tab w:leader="none" w:pos="8340" w:val="left"/>
          <w:tab w:leader="none" w:pos="8520" w:val="left"/>
        </w:tabs>
        <w:rPr>
          <w:sz w:val="20"/>
          <w:szCs w:val="20"/>
          <w:color w:val="auto"/>
        </w:rPr>
      </w:pPr>
      <w:r>
        <w:rPr>
          <w:rFonts w:ascii="Times New Roman" w:cs="Times New Roman" w:eastAsia="Times New Roman" w:hAnsi="Times New Roman"/>
          <w:sz w:val="18"/>
          <w:szCs w:val="18"/>
          <w:color w:val="auto"/>
        </w:rPr>
        <w:t>For the Transition Period Ended: </w:t>
        <w:tab/>
        <w:t> </w:t>
        <w:tab/>
        <w:t> </w:t>
        <w:tab/>
        <w:t> </w:t>
        <w:tab/>
        <w:t> </w:t>
        <w:tab/>
        <w:t> </w:t>
        <w:tab/>
        <w:t> </w:t>
        <w:tab/>
        <w:t> </w:t>
        <w:tab/>
        <w:t> </w:t>
        <w:tab/>
        <w:t> </w:t>
        <w:tab/>
        <w:t> </w:t>
        <w:tab/>
        <w:t> </w:t>
        <w:tab/>
        <w:t> </w:t>
        <w:tab/>
        <w:t> </w:t>
        <w:tab/>
        <w:t> </w:t>
        <w:tab/>
        <w:t> </w:t>
      </w:r>
      <w:r>
        <w:rPr>
          <w:sz w:val="20"/>
          <w:szCs w:val="20"/>
          <w:color w:val="auto"/>
        </w:rPr>
        <w:tab/>
      </w:r>
      <w:r>
        <w:rPr>
          <w:rFonts w:ascii="Times New Roman" w:cs="Times New Roman" w:eastAsia="Times New Roman" w:hAnsi="Times New Roman"/>
          <w:sz w:val="6"/>
          <w:szCs w:val="6"/>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2658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18859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1828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96"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 Not Applicable</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T2 BIOSYSTEMS, INC.</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101 HARTWELL AVE.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w:t>
      </w:r>
      <w:r>
        <w:rPr>
          <w:rFonts w:ascii="Times New Roman" w:cs="Times New Roman" w:eastAsia="Times New Roman" w:hAnsi="Times New Roman"/>
          <w:sz w:val="18"/>
          <w:szCs w:val="18"/>
          <w:i w:val="1"/>
          <w:iCs w:val="1"/>
          <w:color w:val="auto"/>
        </w:rPr>
        <w:t>Street and Number</w:t>
      </w:r>
      <w:r>
        <w:rPr>
          <w:rFonts w:ascii="Times New Roman" w:cs="Times New Roman" w:eastAsia="Times New Roman" w:hAnsi="Times New Roman"/>
          <w:sz w:val="18"/>
          <w:szCs w:val="18"/>
          <w:b w:val="1"/>
          <w:bCs w:val="1"/>
          <w:color w:val="auto"/>
        </w:rPr>
        <w:t>)</w:t>
      </w:r>
    </w:p>
    <w:p>
      <w:pPr>
        <w:spacing w:after="0" w:line="20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LEXINGTON, MA 02421</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89" w:lineRule="exact"/>
        <w:rPr>
          <w:sz w:val="24"/>
          <w:szCs w:val="24"/>
          <w:color w:val="auto"/>
        </w:rPr>
      </w:pPr>
    </w:p>
    <w:p>
      <w:pPr>
        <w:ind w:left="840" w:hanging="318"/>
        <w:spacing w:after="0"/>
        <w:tabs>
          <w:tab w:leader="none" w:pos="8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44"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N-SAR or Form N-CSR, or</w:t>
      </w:r>
    </w:p>
    <w:p>
      <w:pPr>
        <w:spacing w:after="0" w:line="27" w:lineRule="exact"/>
        <w:rPr>
          <w:rFonts w:ascii="Times New Roman" w:cs="Times New Roman" w:eastAsia="Times New Roman" w:hAnsi="Times New Roman"/>
          <w:sz w:val="18"/>
          <w:szCs w:val="18"/>
          <w:color w:val="auto"/>
        </w:rPr>
      </w:pPr>
    </w:p>
    <w:p>
      <w:pPr>
        <w:ind w:left="840" w:hanging="700"/>
        <w:spacing w:after="0" w:line="185" w:lineRule="auto"/>
        <w:tabs>
          <w:tab w:leader="none" w:pos="8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5"/>
          <w:szCs w:val="15"/>
          <w:color w:val="auto"/>
        </w:rPr>
        <w:t>portion thereof, will be filed on or before the fifteenth calendar day following the prescribed due date; or the subject quarterly report or</w:t>
      </w:r>
    </w:p>
    <w:p>
      <w:pPr>
        <w:spacing w:after="0" w:line="1" w:lineRule="exact"/>
        <w:rPr>
          <w:rFonts w:ascii="MS PGothic" w:cs="MS PGothic" w:eastAsia="MS PGothic" w:hAnsi="MS PGothic"/>
          <w:sz w:val="28"/>
          <w:szCs w:val="28"/>
          <w:color w:val="auto"/>
          <w:vertAlign w:val="subscript"/>
        </w:rPr>
      </w:pPr>
    </w:p>
    <w:p>
      <w:pPr>
        <w:ind w:left="400" w:hanging="98"/>
        <w:spacing w:after="0"/>
        <w:tabs>
          <w:tab w:leader="none" w:pos="400" w:val="left"/>
        </w:tabs>
        <w:numPr>
          <w:ilvl w:val="1"/>
          <w:numId w:val="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4"/>
          <w:szCs w:val="24"/>
          <w:color w:val="auto"/>
          <w:vertAlign w:val="superscript"/>
        </w:rPr>
        <w:t xml:space="preserve"> </w:t>
      </w:r>
      <w:r>
        <w:rPr>
          <w:rFonts w:ascii="Times New Roman" w:cs="Times New Roman" w:eastAsia="Times New Roman" w:hAnsi="Times New Roman"/>
          <w:sz w:val="17"/>
          <w:szCs w:val="17"/>
          <w:color w:val="auto"/>
        </w:rPr>
        <w:t>transition report on Form 10-Q or subject distribution report on Form 10-D, or portion thereof, will be filed on or before the fifth calendar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wp:posOffset>
            </wp:positionH>
            <wp:positionV relativeFrom="paragraph">
              <wp:posOffset>-634365</wp:posOffset>
            </wp:positionV>
            <wp:extent cx="8890" cy="994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99441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8"/>
          <w:szCs w:val="18"/>
          <w:color w:val="auto"/>
        </w:rPr>
        <w:t>day following the prescribed due date; and</w:t>
      </w:r>
    </w:p>
    <w:p>
      <w:pPr>
        <w:spacing w:after="0" w:line="12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N-SAR, N-CSR, or the transition report or portion thereof, could not be filed within the prescribed time period.</w:t>
      </w:r>
    </w:p>
    <w:p>
      <w:pPr>
        <w:spacing w:after="0" w:line="162" w:lineRule="exact"/>
        <w:rPr>
          <w:sz w:val="24"/>
          <w:szCs w:val="24"/>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As previously disclosed, on February 13, 2025, T2 Biosystems, Inc. (the “Company”) terminated all employees and ceased operations. On February 20, 2025, the Company disclosed that, in an effort to maximize the value of its assets, the Company has also engaged an advisory firm to sell the Company and its assets, including its patents and other intellectual property. The Company will not be able to file its Annual Report on Form 10-K for the fiscal</w:t>
      </w:r>
    </w:p>
    <w:p>
      <w:pPr>
        <w:sectPr>
          <w:pgSz w:w="11900" w:h="16931" w:orient="portrait"/>
          <w:cols w:equalWidth="0" w:num="1">
            <w:col w:w="10980"/>
          </w:cols>
          <w:pgMar w:left="440" w:top="243" w:right="479" w:bottom="0" w:gutter="0" w:footer="0" w:header="0"/>
        </w:sectPr>
      </w:pPr>
    </w:p>
    <w:bookmarkStart w:id="1" w:name="page2"/>
    <w:bookmarkEnd w:id="1"/>
    <w:p>
      <w:pPr>
        <w:ind w:left="4" w:right="120"/>
        <w:spacing w:after="0" w:line="277" w:lineRule="auto"/>
        <w:rPr>
          <w:sz w:val="20"/>
          <w:szCs w:val="20"/>
          <w:color w:val="auto"/>
        </w:rPr>
      </w:pPr>
      <w:r>
        <w:rPr>
          <w:rFonts w:ascii="Times New Roman" w:cs="Times New Roman" w:eastAsia="Times New Roman" w:hAnsi="Times New Roman"/>
          <w:sz w:val="17"/>
          <w:szCs w:val="17"/>
          <w:color w:val="auto"/>
        </w:rPr>
        <w:t>year ended December 31, 2024 (the “Form 10-K”) within the prescribed time period because the Company is currently unable to allocate the financial resources necessary to engage its independent public accounting firm to perform an audit of the Company’s financial statements for the year ended December 31, 2024 (the “2024 Financial Statements”) to be included in the Form 10-K. For such reasons, the subject Form 10-K could not be provided within the prescribed time period without unreasonable effort or expense. The Company cannot predict at this time if and when the Company’s independent public accounting firm will be engaged to perform an audit of the 2024 Financial Statements and if and when it will file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9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c>
          <w:tcPr>
            <w:tcW w:w="3380" w:type="dxa"/>
            <w:vAlign w:val="bottom"/>
          </w:tcPr>
          <w:p>
            <w:pPr>
              <w:spacing w:after="0"/>
              <w:rPr>
                <w:sz w:val="20"/>
                <w:szCs w:val="20"/>
                <w:color w:val="auto"/>
              </w:rPr>
            </w:pPr>
          </w:p>
        </w:tc>
      </w:tr>
      <w:tr>
        <w:trPr>
          <w:trHeight w:val="459"/>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38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308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John Sprague</w:t>
            </w:r>
          </w:p>
        </w:tc>
        <w:tc>
          <w:tcPr>
            <w:tcW w:w="1200" w:type="dxa"/>
            <w:vAlign w:val="bottom"/>
          </w:tcPr>
          <w:p>
            <w:pPr>
              <w:spacing w:after="0"/>
              <w:rPr>
                <w:sz w:val="24"/>
                <w:szCs w:val="24"/>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b w:val="1"/>
                <w:bCs w:val="1"/>
                <w:color w:val="auto"/>
                <w:w w:val="98"/>
              </w:rPr>
              <w:t>781</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4"/>
                <w:szCs w:val="4"/>
                <w:color w:val="auto"/>
                <w:w w:val="98"/>
              </w:rPr>
              <w:t> </w:t>
            </w:r>
          </w:p>
        </w:tc>
        <w:tc>
          <w:tcPr>
            <w:tcW w:w="3380" w:type="dxa"/>
            <w:vAlign w:val="bottom"/>
          </w:tcPr>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457-3898</w:t>
            </w:r>
          </w:p>
        </w:tc>
      </w:tr>
      <w:tr>
        <w:trPr>
          <w:trHeight w:val="184"/>
        </w:trPr>
        <w:tc>
          <w:tcPr>
            <w:tcW w:w="580" w:type="dxa"/>
            <w:vAlign w:val="bottom"/>
          </w:tcPr>
          <w:p>
            <w:pPr>
              <w:spacing w:after="0"/>
              <w:rPr>
                <w:sz w:val="15"/>
                <w:szCs w:val="15"/>
                <w:color w:val="auto"/>
              </w:rPr>
            </w:pPr>
          </w:p>
        </w:tc>
        <w:tc>
          <w:tcPr>
            <w:tcW w:w="3080" w:type="dxa"/>
            <w:vAlign w:val="bottom"/>
            <w:tcBorders>
              <w:top w:val="single" w:sz="8" w:color="auto"/>
            </w:tcBorders>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(Area Code)</w:t>
            </w:r>
          </w:p>
        </w:tc>
        <w:tc>
          <w:tcPr>
            <w:tcW w:w="3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380" w:type="dxa"/>
            <w:vAlign w:val="bottom"/>
            <w:tcBorders>
              <w:top w:val="single" w:sz="8" w:color="auto"/>
            </w:tcBorders>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(Telephone Number)</w:t>
            </w:r>
          </w:p>
        </w:tc>
      </w:tr>
    </w:tbl>
    <w:p>
      <w:pPr>
        <w:spacing w:after="0" w:line="48" w:lineRule="exact"/>
        <w:rPr>
          <w:sz w:val="20"/>
          <w:szCs w:val="20"/>
          <w:color w:val="auto"/>
        </w:rPr>
      </w:pPr>
    </w:p>
    <w:p>
      <w:pPr>
        <w:ind w:left="684" w:right="360" w:hanging="684"/>
        <w:spacing w:after="0" w:line="273" w:lineRule="auto"/>
        <w:tabs>
          <w:tab w:leader="none" w:pos="68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684"/>
        <w:spacing w:after="0" w:line="207" w:lineRule="exact"/>
        <w:tabs>
          <w:tab w:leader="none" w:pos="3724" w:val="left"/>
        </w:tabs>
        <w:rPr>
          <w:sz w:val="20"/>
          <w:szCs w:val="20"/>
          <w:color w:val="auto"/>
        </w:rPr>
      </w:pPr>
      <w:r>
        <w:rPr>
          <w:rFonts w:ascii="Times New Roman" w:cs="Times New Roman" w:eastAsia="Times New Roman" w:hAnsi="Times New Roman"/>
          <w:sz w:val="18"/>
          <w:szCs w:val="18"/>
          <w:color w:val="auto"/>
        </w:rPr>
        <w:t>filed? If answer is no, identify report(s). </w:t>
      </w:r>
      <w:r>
        <w:rPr>
          <w:sz w:val="20"/>
          <w:szCs w:val="20"/>
          <w:color w:val="auto"/>
        </w:rPr>
        <w:tab/>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 xml:space="preserve">  No</w:t>
      </w:r>
    </w:p>
    <w:p>
      <w:pPr>
        <w:spacing w:after="0" w:line="104" w:lineRule="exact"/>
        <w:rPr>
          <w:sz w:val="20"/>
          <w:szCs w:val="20"/>
          <w:color w:val="auto"/>
        </w:rPr>
      </w:pPr>
    </w:p>
    <w:p>
      <w:pPr>
        <w:ind w:left="684" w:hanging="684"/>
        <w:spacing w:after="0"/>
        <w:tabs>
          <w:tab w:leader="none" w:pos="6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w:t>
      </w:r>
    </w:p>
    <w:p>
      <w:pPr>
        <w:spacing w:after="0" w:line="22" w:lineRule="exact"/>
        <w:rPr>
          <w:sz w:val="20"/>
          <w:szCs w:val="20"/>
          <w:color w:val="auto"/>
        </w:rPr>
      </w:pPr>
    </w:p>
    <w:p>
      <w:pPr>
        <w:ind w:left="684"/>
        <w:spacing w:after="0" w:line="207" w:lineRule="exact"/>
        <w:tabs>
          <w:tab w:leader="none" w:pos="6204" w:val="left"/>
        </w:tabs>
        <w:rPr>
          <w:sz w:val="20"/>
          <w:szCs w:val="20"/>
          <w:color w:val="auto"/>
        </w:rPr>
      </w:pPr>
      <w:r>
        <w:rPr>
          <w:rFonts w:ascii="Times New Roman" w:cs="Times New Roman" w:eastAsia="Times New Roman" w:hAnsi="Times New Roman"/>
          <w:sz w:val="18"/>
          <w:szCs w:val="18"/>
          <w:color w:val="auto"/>
        </w:rPr>
        <w:t>earnings statements to be included in the subject report or portion thereof? </w:t>
      </w:r>
      <w:r>
        <w:rPr>
          <w:sz w:val="20"/>
          <w:szCs w:val="20"/>
          <w:color w:val="auto"/>
        </w:rPr>
        <w:tab/>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 xml:space="preserve">  No</w:t>
      </w:r>
    </w:p>
    <w:p>
      <w:pPr>
        <w:spacing w:after="0" w:line="104" w:lineRule="exact"/>
        <w:rPr>
          <w:sz w:val="20"/>
          <w:szCs w:val="20"/>
          <w:color w:val="auto"/>
        </w:rPr>
      </w:pPr>
    </w:p>
    <w:p>
      <w:pPr>
        <w:ind w:left="684" w:right="8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54" w:lineRule="exact"/>
        <w:rPr>
          <w:sz w:val="20"/>
          <w:szCs w:val="20"/>
          <w:color w:val="auto"/>
        </w:rPr>
      </w:pPr>
    </w:p>
    <w:p>
      <w:pPr>
        <w:ind w:left="684"/>
        <w:spacing w:after="0"/>
        <w:rPr>
          <w:sz w:val="20"/>
          <w:szCs w:val="20"/>
          <w:color w:val="auto"/>
        </w:rPr>
      </w:pPr>
      <w:r>
        <w:rPr>
          <w:rFonts w:ascii="Times New Roman" w:cs="Times New Roman" w:eastAsia="Times New Roman" w:hAnsi="Times New Roman"/>
          <w:sz w:val="18"/>
          <w:szCs w:val="18"/>
          <w:color w:val="auto"/>
        </w:rPr>
        <w:t>A reasonable estimate of the results cannot be made because of the reasons stated above.</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This Notification of Late Filing on Form 12b-25 contains “forward-looking statements” within the meaning of Section 27A of the Securities Act of 1933, as amended, and Section 21E of the Securities Exchange Act of 1934, as amended. Words such as “expect,” “will,” “anticipates,” “estimates” and variations of such words and similar future or conditional expressions are intended to identify forward-looking statements. These forward-looking statements include, but are not limited to, statements regarding the Company’s expectations regarding the timing and ability of its Form 10-K filing, the Company’s expected results for the full-year 2024 and anticipated going concern disclosure. Forward-looking statements are based on management’s current plans, estimates, assumptions and projections based on information currently available to the Company. Forward-looking statements are subject to known and unknown risks, uncertainties and assumptions, and actual results or outcomes may differ materially from those expressed or implied in the forward-looking statements due to various important factors, including, but not limited to the important factors discussed under the caption “Risk Factors” in the Company’s Annual Report on Form 10-K for the 12 month period ended December 31, 2023, as any such factors may be updated from time to time in the Company’s other filings with the SEC, accessible on the SEC’s website at www.sec.gov and the “SEC Filings” page of the Company’s website at </w:t>
      </w:r>
      <w:r>
        <w:rPr>
          <w:rFonts w:ascii="Times New Roman" w:cs="Times New Roman" w:eastAsia="Times New Roman" w:hAnsi="Times New Roman"/>
          <w:sz w:val="18"/>
          <w:szCs w:val="18"/>
          <w:i w:val="1"/>
          <w:iCs w:val="1"/>
          <w:color w:val="auto"/>
        </w:rPr>
        <w:t>https://t2biosystems.gcs-web.com/</w:t>
      </w:r>
      <w:r>
        <w:rPr>
          <w:rFonts w:ascii="Times New Roman" w:cs="Times New Roman" w:eastAsia="Times New Roman" w:hAnsi="Times New Roman"/>
          <w:sz w:val="18"/>
          <w:szCs w:val="18"/>
          <w:color w:val="auto"/>
        </w:rPr>
        <w:t>. All forward-looking statements speak only as of the date of this Notification of Late Filing on Form 12b-25 and, except as required by applicable law, the Company has no obligation to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T2 BIOSYSTEMS, INC.</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 of Registrant as Specified in Charter)</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52" w:lineRule="exact"/>
        <w:rPr>
          <w:sz w:val="20"/>
          <w:szCs w:val="20"/>
          <w:color w:val="auto"/>
        </w:rPr>
      </w:pPr>
    </w:p>
    <w:p>
      <w:pPr>
        <w:ind w:left="4"/>
        <w:spacing w:after="0"/>
        <w:tabs>
          <w:tab w:leader="none" w:pos="524" w:val="left"/>
          <w:tab w:leader="none" w:pos="6064" w:val="left"/>
        </w:tabs>
        <w:rPr>
          <w:sz w:val="20"/>
          <w:szCs w:val="20"/>
          <w:color w:val="auto"/>
        </w:rPr>
      </w:pPr>
      <w:r>
        <w:rPr>
          <w:rFonts w:ascii="Times New Roman" w:cs="Times New Roman" w:eastAsia="Times New Roman" w:hAnsi="Times New Roman"/>
          <w:sz w:val="18"/>
          <w:szCs w:val="18"/>
          <w:color w:val="auto"/>
        </w:rPr>
        <w:t>Date </w:t>
        <w:tab/>
        <w:t>April 1, 2025</w:t>
      </w:r>
      <w:r>
        <w:rPr>
          <w:sz w:val="20"/>
          <w:szCs w:val="20"/>
          <w:color w:val="auto"/>
        </w:rPr>
        <w:tab/>
      </w:r>
      <w:r>
        <w:rPr>
          <w:rFonts w:ascii="Times New Roman" w:cs="Times New Roman" w:eastAsia="Times New Roman" w:hAnsi="Times New Roman"/>
          <w:sz w:val="18"/>
          <w:szCs w:val="18"/>
          <w:color w:val="auto"/>
        </w:rPr>
        <w:t>By   /s/ John Sprague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17145</wp:posOffset>
            </wp:positionV>
            <wp:extent cx="2931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4" w:lineRule="exact"/>
        <w:rPr>
          <w:sz w:val="20"/>
          <w:szCs w:val="20"/>
          <w:color w:val="auto"/>
        </w:rPr>
      </w:pPr>
    </w:p>
    <w:p>
      <w:pPr>
        <w:ind w:left="6404"/>
        <w:spacing w:after="0"/>
        <w:rPr>
          <w:sz w:val="20"/>
          <w:szCs w:val="20"/>
          <w:color w:val="auto"/>
        </w:rPr>
      </w:pPr>
      <w:r>
        <w:rPr>
          <w:rFonts w:ascii="Times New Roman" w:cs="Times New Roman" w:eastAsia="Times New Roman" w:hAnsi="Times New Roman"/>
          <w:sz w:val="18"/>
          <w:szCs w:val="18"/>
          <w:color w:val="auto"/>
        </w:rPr>
        <w:t>Name: John Sprague</w:t>
      </w:r>
    </w:p>
    <w:p>
      <w:pPr>
        <w:spacing w:after="0" w:line="9" w:lineRule="exact"/>
        <w:rPr>
          <w:sz w:val="20"/>
          <w:szCs w:val="20"/>
          <w:color w:val="auto"/>
        </w:rPr>
      </w:pPr>
    </w:p>
    <w:p>
      <w:pPr>
        <w:ind w:left="6404"/>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
      <w:numFmt w:val="bullet"/>
      <w:start w:val="1"/>
    </w:lvl>
    <w:lvl w:ilvl="2">
      <w:lvlJc w:val="left"/>
      <w:lvlText w:val="(%3)"/>
      <w:numFmt w:val="lowerLetter"/>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2025-04-01T08:06:42Z</dcterms:created>
  <dcterms:modified xsi:type="dcterms:W3CDTF">2025-04-01T08:06:42Z</dcterms:modified>
</cp:coreProperties>
</file>