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926272d8k.htm"/>
      <w:bookmarkStart w:id="1" w:name="ksd92627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February 13,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T2 BIOSYSTEMS,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001-36571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20-4827488</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101 Hartwell Avenue, Lexington, Massachusetts 02421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(781) 761-4646</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4100"/>
        <w:gridCol w:w="60"/>
        <w:gridCol w:w="740"/>
        <w:gridCol w:w="60"/>
        <w:gridCol w:w="1745"/>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TTOO</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 February 10, 2025, the Nasdaq Stock Market (“Nasdaq”) notified T2 Biosystems, Inc. (the “Company”) that it plans to file a notification of removal from listing (Form 25) with the Securities and Exchange Commission (the “SEC”) to delist the Company’s common stock from Nasdaq upon the completion of all applicable procedures. After the Form 25 is filed by Nasdaq, the delisting will become effective 10 days later. The deregistration of the Company’s common stock under Section 12(b) of the Securities Exchange Act of 1934, as amended (the “Exchange Act”), will occur 90 days following the filing of the Form 25, or such shorter period as the SEC may determine. Upon deregistration of the Company’s common stock under Section 12(b) of the Exchange Act, the Company’s common stock will remain registered under Section 12(g) of the Exchange Act. The Company’s common stock began trading on the TTOO operated by the </w:t>
            </w:r>
            <w:bookmarkStart w:id="2" w:name="Fact_24"/>
            <w:bookmarkEnd w:id="2"/>
            <w:r>
              <w:rPr>
                <w:rFonts w:ascii="Times New Roman" w:hAnsi="Times New Roman"/>
                <w:sz w:val="20"/>
              </w:rPr>
              <w:t>OTC Markets Group, Inc. beginning on February 12, 2025.</w:t>
            </w:r>
          </w:p>
        </w:tc>
      </w:tr>
    </w:tbl>
    <w:p>
      <w:pPr>
        <w:pStyle w:val="TextBody"/>
        <w:bidi w:val="0"/>
        <w:spacing w:before="240" w:after="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both"/>
        <w:rPr>
          <w:rFonts w:ascii="Times New Roman" w:hAnsi="Times New Roman"/>
          <w:sz w:val="20"/>
        </w:rPr>
      </w:pPr>
      <w:r>
        <w:rPr>
          <w:rFonts w:ascii="Times New Roman" w:hAnsi="Times New Roman"/>
          <w:sz w:val="20"/>
        </w:rPr>
        <w:t>Emerging growth company ☐</w:t>
      </w:r>
    </w:p>
    <w:p>
      <w:pPr>
        <w:pStyle w:val="TextBody"/>
        <w:bidi w:val="0"/>
        <w:spacing w:before="24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2.05. Costs Associated with Exit or Disposal Activities.</w:t>
      </w:r>
    </w:p>
    <w:p>
      <w:pPr>
        <w:pStyle w:val="TextBody"/>
        <w:bidi w:val="0"/>
        <w:spacing w:before="120" w:after="0"/>
        <w:jc w:val="both"/>
        <w:rPr>
          <w:rFonts w:ascii="Times New Roman" w:hAnsi="Times New Roman"/>
          <w:sz w:val="20"/>
        </w:rPr>
      </w:pPr>
      <w:r>
        <w:rPr>
          <w:rFonts w:ascii="Times New Roman" w:hAnsi="Times New Roman"/>
          <w:sz w:val="20"/>
        </w:rPr>
        <w:t>On February 13, 2025, the Board of Directors (the “Board”) of T2 Biosystems, Inc. (the “Company”) approved a reduction-in-force (the “Reduction-in-Force”) of substantially all of its employees, effective immediately (the “Effective Time”). The Company expects to incur one-time charges and cash expenditures associated with the Reduction-in-Force of approximately $1.0 million, primarily related to employee wages and severance payments, benefits, earned vacation time and related termination costs. The Company expects that these charges and costs will be incurred during the quarter ending March 31, 2025.</w:t>
      </w:r>
    </w:p>
    <w:p>
      <w:pPr>
        <w:pStyle w:val="TextBody"/>
        <w:bidi w:val="0"/>
        <w:spacing w:before="240" w:after="0"/>
        <w:jc w:val="both"/>
        <w:rPr>
          <w:rFonts w:ascii="Times New Roman" w:hAnsi="Times New Roman"/>
          <w:sz w:val="20"/>
        </w:rPr>
      </w:pPr>
      <w:r>
        <w:rPr>
          <w:rFonts w:ascii="Times New Roman" w:hAnsi="Times New Roman"/>
          <w:sz w:val="20"/>
        </w:rPr>
        <w:t>The estimates of charges and expenditures that the Company expects to incur in connection with the Reduction-in-Force are subject to a number of assumptions and actual results may differ materially from estimates.</w:t>
      </w:r>
    </w:p>
    <w:p>
      <w:pPr>
        <w:pStyle w:val="TextBody"/>
        <w:bidi w:val="0"/>
        <w:spacing w:before="36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bidi w:val="0"/>
        <w:spacing w:before="120" w:after="0"/>
        <w:jc w:val="both"/>
        <w:rPr>
          <w:rFonts w:ascii="Times New Roman" w:hAnsi="Times New Roman"/>
          <w:sz w:val="20"/>
        </w:rPr>
      </w:pPr>
      <w:r>
        <w:rPr>
          <w:rFonts w:ascii="Times New Roman" w:hAnsi="Times New Roman"/>
          <w:sz w:val="20"/>
        </w:rPr>
        <w:t>In connection with the actions discussed in Item 2.05 above, John Sperzel, President and Chief Executive Officer, John Sprague, Chief Financial Officer, and Michael Gibbs, Senior Vice President and General Counsel, were terminated without cause from their respective positions, effective immediately.</w:t>
      </w:r>
    </w:p>
    <w:p>
      <w:pPr>
        <w:pStyle w:val="TextBody"/>
        <w:bidi w:val="0"/>
        <w:spacing w:before="240" w:after="0"/>
        <w:jc w:val="both"/>
        <w:rPr>
          <w:rFonts w:ascii="Times New Roman" w:hAnsi="Times New Roman"/>
          <w:sz w:val="20"/>
        </w:rPr>
      </w:pPr>
      <w:r>
        <w:rPr>
          <w:rFonts w:ascii="Times New Roman" w:hAnsi="Times New Roman"/>
          <w:sz w:val="20"/>
        </w:rPr>
        <w:t>Following the end of their employment, Messrs. Sperzel, Sprague and Gibbs were re-appointed by the Board to serve as the Company’s Chief Executive Officer, Chief Financial Officer and General Counsel, respectively. Each of Messrs. Sperzel, Sprague and Gibbs is entering into a consulting agreement with the Company (the “Consulting Agreements”). Pursuant to the Consulting Agreements, Messrs, Sperzel, Sprague and Gibbs will be paid an hourly fee of $276.44, $185.10, and $187.50 respectively for their services consisting of twenty (20) hours per week. The Consulting Agreements also provide for the reimbursement of certain expenses and certain indemnification obligations in connection with their service as officers.</w:t>
      </w:r>
    </w:p>
    <w:p>
      <w:pPr>
        <w:pStyle w:val="TextBody"/>
        <w:bidi w:val="0"/>
        <w:spacing w:before="360" w:after="0"/>
        <w:jc w:val="left"/>
        <w:rPr>
          <w:rFonts w:ascii="Times New Roman" w:hAnsi="Times New Roman"/>
          <w:b/>
          <w:sz w:val="20"/>
        </w:rPr>
      </w:pPr>
      <w:r>
        <w:rPr>
          <w:rFonts w:ascii="Times New Roman" w:hAnsi="Times New Roman"/>
          <w:b/>
          <w:sz w:val="20"/>
        </w:rPr>
        <w:t>Item 8.01 Other Events</w:t>
      </w:r>
    </w:p>
    <w:p>
      <w:pPr>
        <w:pStyle w:val="TextBody"/>
        <w:bidi w:val="0"/>
        <w:spacing w:before="120" w:after="0"/>
        <w:jc w:val="both"/>
        <w:rPr>
          <w:rFonts w:ascii="Times New Roman" w:hAnsi="Times New Roman"/>
          <w:sz w:val="20"/>
        </w:rPr>
      </w:pPr>
      <w:r>
        <w:rPr>
          <w:rFonts w:ascii="Times New Roman" w:hAnsi="Times New Roman"/>
          <w:sz w:val="20"/>
        </w:rPr>
        <w:t>The Company previously disclosed that it intended to hold a Special Meeting of Stockholders (the “</w:t>
      </w:r>
      <w:r>
        <w:rPr>
          <w:rFonts w:ascii="Times New Roman" w:hAnsi="Times New Roman"/>
          <w:sz w:val="20"/>
          <w:u w:val="single"/>
        </w:rPr>
        <w:t>Special Meeting</w:t>
      </w:r>
      <w:r>
        <w:rPr>
          <w:rFonts w:ascii="Times New Roman" w:hAnsi="Times New Roman"/>
          <w:sz w:val="20"/>
        </w:rPr>
        <w:t>”) on March 3, 2025 to approve an amendment to the Company’s certificate of incorporation to effect a reverse stock split of the Company’s common stock in order to regain compliance with the bid price requirement of Nasdaq Listing Rule 5550(a)(2). In light of the delisting determination received from the Nasdaq Hearings Panel on February 10, 2025, the Company has determined to cancel the Special Meeting and abandon the proposed reverse stock split.</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both"/>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t> </w:t>
      </w:r>
    </w:p>
    <w:tbl>
      <w:tblPr>
        <w:tblW w:w="4642" w:type="dxa"/>
        <w:jc w:val="left"/>
        <w:tblInd w:w="0" w:type="dxa"/>
        <w:tblLayout w:type="fixed"/>
        <w:tblCellMar>
          <w:top w:w="0" w:type="dxa"/>
          <w:left w:w="0" w:type="dxa"/>
          <w:bottom w:w="0" w:type="dxa"/>
          <w:right w:w="0" w:type="dxa"/>
        </w:tblCellMar>
      </w:tblPr>
      <w:tblGrid>
        <w:gridCol w:w="625"/>
        <w:gridCol w:w="991"/>
        <w:gridCol w:w="382"/>
        <w:gridCol w:w="60"/>
        <w:gridCol w:w="363"/>
        <w:gridCol w:w="68"/>
        <w:gridCol w:w="2153"/>
      </w:tblGrid>
      <w:tr>
        <w:trPr/>
        <w:tc>
          <w:tcPr>
            <w:tcW w:w="62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 February 14, 2025</w:t>
            </w:r>
          </w:p>
        </w:tc>
        <w:tc>
          <w:tcPr>
            <w:tcW w:w="60" w:type="dxa"/>
            <w:tcBorders/>
            <w:vAlign w:val="center"/>
          </w:tcPr>
          <w:p>
            <w:pPr>
              <w:pStyle w:val="TableContents"/>
              <w:bidi w:val="0"/>
              <w:spacing w:before="0" w:after="283"/>
              <w:jc w:val="left"/>
              <w:rPr/>
            </w:pPr>
            <w:r>
              <w:rPr/>
              <w:t> </w:t>
            </w:r>
          </w:p>
        </w:tc>
        <w:tc>
          <w:tcPr>
            <w:tcW w:w="2584" w:type="dxa"/>
            <w:gridSpan w:val="3"/>
            <w:tcBorders/>
            <w:vAlign w:val="center"/>
          </w:tcPr>
          <w:p>
            <w:pPr>
              <w:pStyle w:val="TableContents"/>
              <w:bidi w:val="0"/>
              <w:spacing w:before="0" w:after="283"/>
              <w:jc w:val="left"/>
              <w:rPr>
                <w:b/>
              </w:rPr>
            </w:pPr>
            <w:r>
              <w:rPr>
                <w:b/>
              </w:rPr>
              <w:t>T2 BIOSYSTEMS, INC.</w:t>
            </w:r>
          </w:p>
        </w:tc>
      </w:tr>
      <w:tr>
        <w:trPr/>
        <w:tc>
          <w:tcPr>
            <w:tcW w:w="625" w:type="dxa"/>
            <w:tcBorders/>
            <w:vAlign w:val="center"/>
          </w:tcPr>
          <w:p>
            <w:pPr>
              <w:pStyle w:val="TableContents"/>
              <w:bidi w:val="0"/>
              <w:spacing w:before="0" w:after="283"/>
              <w:jc w:val="left"/>
              <w:rPr>
                <w:sz w:val="4"/>
                <w:szCs w:val="4"/>
              </w:rPr>
            </w:pPr>
            <w:r>
              <w:rPr>
                <w:sz w:val="4"/>
                <w:szCs w:val="4"/>
              </w:rPr>
            </w:r>
          </w:p>
        </w:tc>
        <w:tc>
          <w:tcPr>
            <w:tcW w:w="1373"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8" w:type="dxa"/>
            <w:tcBorders/>
            <w:vAlign w:val="center"/>
          </w:tcPr>
          <w:p>
            <w:pPr>
              <w:pStyle w:val="TableContents"/>
              <w:bidi w:val="0"/>
              <w:spacing w:before="0" w:after="283"/>
              <w:jc w:val="left"/>
              <w:rPr/>
            </w:pPr>
            <w:r>
              <w:rPr/>
              <w:t> </w:t>
            </w:r>
          </w:p>
        </w:tc>
        <w:tc>
          <w:tcPr>
            <w:tcW w:w="2153" w:type="dxa"/>
            <w:tcBorders/>
            <w:vAlign w:val="center"/>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John Sprague</w:t>
            </w:r>
          </w:p>
        </w:tc>
      </w:tr>
      <w:tr>
        <w:trPr/>
        <w:tc>
          <w:tcPr>
            <w:tcW w:w="62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21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John Sprague</w:t>
            </w:r>
          </w:p>
        </w:tc>
      </w:tr>
      <w:tr>
        <w:trPr/>
        <w:tc>
          <w:tcPr>
            <w:tcW w:w="62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21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891</Words>
  <Characters>5004</Characters>
  <CharactersWithSpaces>5876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