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80"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As filed with the Securities and Exchange Commission on July 19, 2024.</w:t>
      </w:r>
    </w:p>
    <w:p>
      <w:pPr>
        <w:spacing w:after="0" w:line="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276225</wp:posOffset>
            </wp:positionH>
            <wp:positionV relativeFrom="paragraph">
              <wp:posOffset>179705</wp:posOffset>
            </wp:positionV>
            <wp:extent cx="65982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8285"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34"/>
          <w:szCs w:val="34"/>
          <w:b w:val="1"/>
          <w:bCs w:val="1"/>
          <w:color w:val="auto"/>
        </w:rPr>
        <w:t>UNITED STATES</w:t>
      </w:r>
    </w:p>
    <w:p>
      <w:pPr>
        <w:spacing w:after="0" w:line="48"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34"/>
          <w:szCs w:val="34"/>
          <w:b w:val="1"/>
          <w:bCs w:val="1"/>
          <w:color w:val="auto"/>
        </w:rPr>
        <w:t>SECURITIES AND EXCHANGE COMMISSION</w:t>
      </w:r>
    </w:p>
    <w:p>
      <w:pPr>
        <w:spacing w:after="0" w:line="5"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276225</wp:posOffset>
            </wp:positionH>
            <wp:positionV relativeFrom="paragraph">
              <wp:posOffset>161290</wp:posOffset>
            </wp:positionV>
            <wp:extent cx="65982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8285" cy="8255"/>
                    </a:xfrm>
                    <a:prstGeom prst="rect">
                      <a:avLst/>
                    </a:prstGeom>
                    <a:noFill/>
                  </pic:spPr>
                </pic:pic>
              </a:graphicData>
            </a:graphic>
          </wp:anchor>
        </w:drawing>
      </w:r>
    </w:p>
    <w:p>
      <w:pPr>
        <w:spacing w:after="0" w:line="39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37"/>
          <w:szCs w:val="37"/>
          <w:b w:val="1"/>
          <w:bCs w:val="1"/>
          <w:color w:val="auto"/>
        </w:rPr>
        <w:t>Form S-3</w:t>
      </w:r>
    </w:p>
    <w:p>
      <w:pPr>
        <w:spacing w:after="0" w:line="45"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37"/>
          <w:szCs w:val="37"/>
          <w:b w:val="1"/>
          <w:bCs w:val="1"/>
          <w:color w:val="auto"/>
        </w:rPr>
        <w:t>REGISTRATION STATEMENT</w:t>
      </w:r>
    </w:p>
    <w:p>
      <w:pPr>
        <w:spacing w:after="0" w:line="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4"/>
          <w:szCs w:val="24"/>
          <w:b w:val="1"/>
          <w:bCs w:val="1"/>
          <w:i w:val="1"/>
          <w:iCs w:val="1"/>
          <w:color w:val="auto"/>
        </w:rPr>
        <w:t>UNDER</w:t>
      </w:r>
    </w:p>
    <w:p>
      <w:pPr>
        <w:spacing w:after="0" w:line="4"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4"/>
          <w:szCs w:val="2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276225</wp:posOffset>
            </wp:positionH>
            <wp:positionV relativeFrom="paragraph">
              <wp:posOffset>153035</wp:posOffset>
            </wp:positionV>
            <wp:extent cx="65982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98285" cy="8255"/>
                    </a:xfrm>
                    <a:prstGeom prst="rect">
                      <a:avLst/>
                    </a:prstGeom>
                    <a:noFill/>
                  </pic:spPr>
                </pic:pic>
              </a:graphicData>
            </a:graphic>
          </wp:anchor>
        </w:drawing>
      </w:r>
    </w:p>
    <w:p>
      <w:pPr>
        <w:spacing w:after="0" w:line="383"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48"/>
          <w:szCs w:val="48"/>
          <w:b w:val="1"/>
          <w:bCs w:val="1"/>
          <w:color w:val="auto"/>
        </w:rPr>
        <w:t>T2 BIOSYSTEMS, INC.</w:t>
      </w:r>
    </w:p>
    <w:p>
      <w:pPr>
        <w:spacing w:after="0" w:line="47"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276225</wp:posOffset>
            </wp:positionH>
            <wp:positionV relativeFrom="paragraph">
              <wp:posOffset>154940</wp:posOffset>
            </wp:positionV>
            <wp:extent cx="65982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98285" cy="825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tbl>
      <w:tblPr>
        <w:tblLayout w:type="fixed"/>
        <w:tblInd w:w="1720" w:type="dxa"/>
        <w:tblCellMar>
          <w:top w:w="0" w:type="dxa"/>
          <w:left w:w="0" w:type="dxa"/>
          <w:bottom w:w="0" w:type="dxa"/>
          <w:right w:w="0" w:type="dxa"/>
        </w:tblCellMar>
      </w:tblPr>
      <w:tr>
        <w:trPr>
          <w:trHeight w:val="230"/>
        </w:trPr>
        <w:tc>
          <w:tcPr>
            <w:tcW w:w="4120" w:type="dxa"/>
            <w:vAlign w:val="bottom"/>
          </w:tcPr>
          <w:p>
            <w:pPr>
              <w:jc w:val="center"/>
              <w:ind w:right="1358"/>
              <w:spacing w:after="0"/>
              <w:rPr>
                <w:sz w:val="20"/>
                <w:szCs w:val="20"/>
                <w:color w:val="auto"/>
              </w:rPr>
            </w:pPr>
            <w:r>
              <w:rPr>
                <w:rFonts w:ascii="Times New Roman" w:cs="Times New Roman" w:eastAsia="Times New Roman" w:hAnsi="Times New Roman"/>
                <w:sz w:val="20"/>
                <w:szCs w:val="20"/>
                <w:b w:val="1"/>
                <w:bCs w:val="1"/>
                <w:color w:val="auto"/>
              </w:rPr>
              <w:t>Delaware</w:t>
            </w:r>
          </w:p>
        </w:tc>
        <w:tc>
          <w:tcPr>
            <w:tcW w:w="3460" w:type="dxa"/>
            <w:vAlign w:val="bottom"/>
          </w:tcPr>
          <w:p>
            <w:pPr>
              <w:jc w:val="center"/>
              <w:ind w:left="1358"/>
              <w:spacing w:after="0"/>
              <w:rPr>
                <w:sz w:val="20"/>
                <w:szCs w:val="20"/>
                <w:color w:val="auto"/>
              </w:rPr>
            </w:pPr>
            <w:r>
              <w:rPr>
                <w:rFonts w:ascii="Times New Roman" w:cs="Times New Roman" w:eastAsia="Times New Roman" w:hAnsi="Times New Roman"/>
                <w:sz w:val="20"/>
                <w:szCs w:val="20"/>
                <w:b w:val="1"/>
                <w:bCs w:val="1"/>
                <w:color w:val="auto"/>
              </w:rPr>
              <w:t>20-4827488</w:t>
            </w:r>
          </w:p>
        </w:tc>
      </w:tr>
      <w:tr>
        <w:trPr>
          <w:trHeight w:val="229"/>
        </w:trPr>
        <w:tc>
          <w:tcPr>
            <w:tcW w:w="4120" w:type="dxa"/>
            <w:vAlign w:val="bottom"/>
          </w:tcPr>
          <w:p>
            <w:pPr>
              <w:jc w:val="center"/>
              <w:ind w:right="1358"/>
              <w:spacing w:after="0"/>
              <w:rPr>
                <w:sz w:val="20"/>
                <w:szCs w:val="20"/>
                <w:color w:val="auto"/>
              </w:rPr>
            </w:pPr>
            <w:r>
              <w:rPr>
                <w:rFonts w:ascii="Times New Roman" w:cs="Times New Roman" w:eastAsia="Times New Roman" w:hAnsi="Times New Roman"/>
                <w:sz w:val="20"/>
                <w:szCs w:val="20"/>
                <w:b w:val="1"/>
                <w:bCs w:val="1"/>
                <w:color w:val="auto"/>
              </w:rPr>
              <w:t>(State or other jurisdiction of</w:t>
            </w:r>
          </w:p>
        </w:tc>
        <w:tc>
          <w:tcPr>
            <w:tcW w:w="3460" w:type="dxa"/>
            <w:vAlign w:val="bottom"/>
          </w:tcPr>
          <w:p>
            <w:pPr>
              <w:jc w:val="center"/>
              <w:ind w:left="1358"/>
              <w:spacing w:after="0"/>
              <w:rPr>
                <w:sz w:val="20"/>
                <w:szCs w:val="20"/>
                <w:color w:val="auto"/>
              </w:rPr>
            </w:pPr>
            <w:r>
              <w:rPr>
                <w:rFonts w:ascii="Times New Roman" w:cs="Times New Roman" w:eastAsia="Times New Roman" w:hAnsi="Times New Roman"/>
                <w:sz w:val="20"/>
                <w:szCs w:val="20"/>
                <w:b w:val="1"/>
                <w:bCs w:val="1"/>
                <w:color w:val="auto"/>
              </w:rPr>
              <w:t>(I.R.S. Employer</w:t>
            </w:r>
          </w:p>
        </w:tc>
      </w:tr>
      <w:tr>
        <w:trPr>
          <w:trHeight w:val="270"/>
        </w:trPr>
        <w:tc>
          <w:tcPr>
            <w:tcW w:w="4120" w:type="dxa"/>
            <w:vAlign w:val="bottom"/>
          </w:tcPr>
          <w:p>
            <w:pPr>
              <w:jc w:val="center"/>
              <w:ind w:right="1358"/>
              <w:spacing w:after="0"/>
              <w:rPr>
                <w:sz w:val="20"/>
                <w:szCs w:val="20"/>
                <w:color w:val="auto"/>
              </w:rPr>
            </w:pPr>
            <w:r>
              <w:rPr>
                <w:rFonts w:ascii="Times New Roman" w:cs="Times New Roman" w:eastAsia="Times New Roman" w:hAnsi="Times New Roman"/>
                <w:sz w:val="20"/>
                <w:szCs w:val="20"/>
                <w:b w:val="1"/>
                <w:bCs w:val="1"/>
                <w:color w:val="auto"/>
              </w:rPr>
              <w:t>incorporation or organization)</w:t>
            </w:r>
          </w:p>
        </w:tc>
        <w:tc>
          <w:tcPr>
            <w:tcW w:w="3460" w:type="dxa"/>
            <w:vAlign w:val="bottom"/>
          </w:tcPr>
          <w:p>
            <w:pPr>
              <w:jc w:val="center"/>
              <w:ind w:left="1338"/>
              <w:spacing w:after="0"/>
              <w:rPr>
                <w:sz w:val="20"/>
                <w:szCs w:val="20"/>
                <w:color w:val="auto"/>
              </w:rPr>
            </w:pPr>
            <w:r>
              <w:rPr>
                <w:rFonts w:ascii="Times New Roman" w:cs="Times New Roman" w:eastAsia="Times New Roman" w:hAnsi="Times New Roman"/>
                <w:sz w:val="20"/>
                <w:szCs w:val="20"/>
                <w:b w:val="1"/>
                <w:bCs w:val="1"/>
                <w:color w:val="auto"/>
              </w:rPr>
              <w:t>Identification Number)</w:t>
            </w:r>
          </w:p>
        </w:tc>
      </w:tr>
    </w:tbl>
    <w:p>
      <w:pPr>
        <w:spacing w:after="0" w:line="176"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0"/>
          <w:szCs w:val="20"/>
          <w:b w:val="1"/>
          <w:bCs w:val="1"/>
          <w:color w:val="auto"/>
        </w:rPr>
        <w:t>John Sperzel</w:t>
      </w:r>
    </w:p>
    <w:p>
      <w:pPr>
        <w:spacing w:after="0" w:line="24"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0"/>
          <w:szCs w:val="20"/>
          <w:b w:val="1"/>
          <w:bCs w:val="1"/>
          <w:color w:val="auto"/>
        </w:rPr>
        <w:t>President and Chief Executive Officer</w:t>
      </w:r>
    </w:p>
    <w:p>
      <w:pPr>
        <w:jc w:val="center"/>
        <w:ind w:right="-419"/>
        <w:spacing w:after="0"/>
        <w:rPr>
          <w:sz w:val="20"/>
          <w:szCs w:val="20"/>
          <w:color w:val="auto"/>
        </w:rPr>
      </w:pPr>
      <w:r>
        <w:rPr>
          <w:rFonts w:ascii="Times New Roman" w:cs="Times New Roman" w:eastAsia="Times New Roman" w:hAnsi="Times New Roman"/>
          <w:sz w:val="20"/>
          <w:szCs w:val="20"/>
          <w:b w:val="1"/>
          <w:bCs w:val="1"/>
          <w:color w:val="auto"/>
        </w:rPr>
        <w:t>T2 Biosystems, Inc.</w:t>
      </w:r>
    </w:p>
    <w:p>
      <w:pPr>
        <w:jc w:val="center"/>
        <w:ind w:right="-419"/>
        <w:spacing w:after="0"/>
        <w:rPr>
          <w:sz w:val="20"/>
          <w:szCs w:val="20"/>
          <w:color w:val="auto"/>
        </w:rPr>
      </w:pPr>
      <w:r>
        <w:rPr>
          <w:rFonts w:ascii="Times New Roman" w:cs="Times New Roman" w:eastAsia="Times New Roman" w:hAnsi="Times New Roman"/>
          <w:sz w:val="20"/>
          <w:szCs w:val="20"/>
          <w:b w:val="1"/>
          <w:bCs w:val="1"/>
          <w:color w:val="auto"/>
        </w:rPr>
        <w:t>101 Hartwell Ave.</w:t>
      </w:r>
    </w:p>
    <w:p>
      <w:pPr>
        <w:jc w:val="center"/>
        <w:ind w:right="-419"/>
        <w:spacing w:after="0"/>
        <w:rPr>
          <w:sz w:val="20"/>
          <w:szCs w:val="20"/>
          <w:color w:val="auto"/>
        </w:rPr>
      </w:pPr>
      <w:r>
        <w:rPr>
          <w:rFonts w:ascii="Times New Roman" w:cs="Times New Roman" w:eastAsia="Times New Roman" w:hAnsi="Times New Roman"/>
          <w:sz w:val="20"/>
          <w:szCs w:val="20"/>
          <w:b w:val="1"/>
          <w:bCs w:val="1"/>
          <w:color w:val="auto"/>
        </w:rPr>
        <w:t>Lexington, MA 02421</w:t>
      </w:r>
    </w:p>
    <w:p>
      <w:pPr>
        <w:jc w:val="center"/>
        <w:ind w:right="-419"/>
        <w:spacing w:after="0"/>
        <w:rPr>
          <w:sz w:val="20"/>
          <w:szCs w:val="20"/>
          <w:color w:val="auto"/>
        </w:rPr>
      </w:pPr>
      <w:r>
        <w:rPr>
          <w:rFonts w:ascii="Times New Roman" w:cs="Times New Roman" w:eastAsia="Times New Roman" w:hAnsi="Times New Roman"/>
          <w:sz w:val="20"/>
          <w:szCs w:val="20"/>
          <w:b w:val="1"/>
          <w:bCs w:val="1"/>
          <w:color w:val="auto"/>
        </w:rPr>
        <w:t>(781) 761-4646</w:t>
      </w:r>
    </w:p>
    <w:p>
      <w:pPr>
        <w:jc w:val="center"/>
        <w:ind w:right="-419"/>
        <w:spacing w:after="0"/>
        <w:rPr>
          <w:sz w:val="20"/>
          <w:szCs w:val="20"/>
          <w:color w:val="auto"/>
        </w:rPr>
      </w:pPr>
      <w:r>
        <w:rPr>
          <w:rFonts w:ascii="Times New Roman" w:cs="Times New Roman" w:eastAsia="Times New Roman" w:hAnsi="Times New Roman"/>
          <w:sz w:val="20"/>
          <w:szCs w:val="20"/>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276225</wp:posOffset>
            </wp:positionH>
            <wp:positionV relativeFrom="paragraph">
              <wp:posOffset>154940</wp:posOffset>
            </wp:positionV>
            <wp:extent cx="65982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9828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0"/>
          <w:szCs w:val="20"/>
          <w:b w:val="1"/>
          <w:bCs w:val="1"/>
          <w:color w:val="auto"/>
        </w:rPr>
        <w:t>Michael T. Gibbs</w:t>
      </w:r>
    </w:p>
    <w:p>
      <w:pPr>
        <w:spacing w:after="0" w:line="24"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0"/>
          <w:szCs w:val="20"/>
          <w:b w:val="1"/>
          <w:bCs w:val="1"/>
          <w:color w:val="auto"/>
        </w:rPr>
        <w:t>General Counsel</w:t>
      </w:r>
    </w:p>
    <w:p>
      <w:pPr>
        <w:jc w:val="center"/>
        <w:ind w:right="-419"/>
        <w:spacing w:after="0"/>
        <w:rPr>
          <w:sz w:val="20"/>
          <w:szCs w:val="20"/>
          <w:color w:val="auto"/>
        </w:rPr>
      </w:pPr>
      <w:r>
        <w:rPr>
          <w:rFonts w:ascii="Times New Roman" w:cs="Times New Roman" w:eastAsia="Times New Roman" w:hAnsi="Times New Roman"/>
          <w:sz w:val="20"/>
          <w:szCs w:val="20"/>
          <w:b w:val="1"/>
          <w:bCs w:val="1"/>
          <w:color w:val="auto"/>
        </w:rPr>
        <w:t>T2 Biosystems, Inc.</w:t>
      </w:r>
    </w:p>
    <w:p>
      <w:pPr>
        <w:jc w:val="center"/>
        <w:ind w:right="-419"/>
        <w:spacing w:after="0"/>
        <w:rPr>
          <w:sz w:val="20"/>
          <w:szCs w:val="20"/>
          <w:color w:val="auto"/>
        </w:rPr>
      </w:pPr>
      <w:r>
        <w:rPr>
          <w:rFonts w:ascii="Times New Roman" w:cs="Times New Roman" w:eastAsia="Times New Roman" w:hAnsi="Times New Roman"/>
          <w:sz w:val="20"/>
          <w:szCs w:val="20"/>
          <w:b w:val="1"/>
          <w:bCs w:val="1"/>
          <w:color w:val="auto"/>
        </w:rPr>
        <w:t>101 Hartwell Ave.</w:t>
      </w:r>
    </w:p>
    <w:p>
      <w:pPr>
        <w:jc w:val="center"/>
        <w:ind w:right="-419"/>
        <w:spacing w:after="0"/>
        <w:rPr>
          <w:sz w:val="20"/>
          <w:szCs w:val="20"/>
          <w:color w:val="auto"/>
        </w:rPr>
      </w:pPr>
      <w:r>
        <w:rPr>
          <w:rFonts w:ascii="Times New Roman" w:cs="Times New Roman" w:eastAsia="Times New Roman" w:hAnsi="Times New Roman"/>
          <w:sz w:val="20"/>
          <w:szCs w:val="20"/>
          <w:b w:val="1"/>
          <w:bCs w:val="1"/>
          <w:color w:val="auto"/>
        </w:rPr>
        <w:t>Lexington, MA 02421</w:t>
      </w:r>
    </w:p>
    <w:p>
      <w:pPr>
        <w:jc w:val="center"/>
        <w:ind w:right="-419"/>
        <w:spacing w:after="0"/>
        <w:rPr>
          <w:sz w:val="20"/>
          <w:szCs w:val="20"/>
          <w:color w:val="auto"/>
        </w:rPr>
      </w:pPr>
      <w:r>
        <w:rPr>
          <w:rFonts w:ascii="Times New Roman" w:cs="Times New Roman" w:eastAsia="Times New Roman" w:hAnsi="Times New Roman"/>
          <w:sz w:val="20"/>
          <w:szCs w:val="20"/>
          <w:b w:val="1"/>
          <w:bCs w:val="1"/>
          <w:color w:val="auto"/>
        </w:rPr>
        <w:t>(781) 761-4646</w:t>
      </w:r>
    </w:p>
    <w:p>
      <w:pPr>
        <w:jc w:val="center"/>
        <w:ind w:right="-419"/>
        <w:spacing w:after="0"/>
        <w:rPr>
          <w:sz w:val="20"/>
          <w:szCs w:val="20"/>
          <w:color w:val="auto"/>
        </w:rPr>
      </w:pPr>
      <w:r>
        <w:rPr>
          <w:rFonts w:ascii="Times New Roman" w:cs="Times New Roman" w:eastAsia="Times New Roman" w:hAnsi="Times New Roman"/>
          <w:sz w:val="20"/>
          <w:szCs w:val="20"/>
          <w:b w:val="1"/>
          <w:bCs w:val="1"/>
          <w:color w:val="auto"/>
        </w:rPr>
        <w:t>(Address,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276225</wp:posOffset>
            </wp:positionH>
            <wp:positionV relativeFrom="paragraph">
              <wp:posOffset>163195</wp:posOffset>
            </wp:positionV>
            <wp:extent cx="65982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98285" cy="8255"/>
                    </a:xfrm>
                    <a:prstGeom prst="rect">
                      <a:avLst/>
                    </a:prstGeom>
                    <a:noFill/>
                  </pic:spPr>
                </pic:pic>
              </a:graphicData>
            </a:graphic>
          </wp:anchor>
        </w:drawing>
      </w:r>
    </w:p>
    <w:p>
      <w:pPr>
        <w:sectPr>
          <w:pgSz w:w="11900" w:h="16838" w:orient="portrait"/>
          <w:cols w:equalWidth="0" w:num="1">
            <w:col w:w="10820"/>
          </w:cols>
          <w:pgMar w:left="320" w:top="221" w:right="7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0"/>
          <w:szCs w:val="20"/>
          <w:b w:val="1"/>
          <w:bCs w:val="1"/>
          <w:i w:val="1"/>
          <w:iCs w:val="1"/>
          <w:color w:val="auto"/>
        </w:rPr>
        <w:t>Copies to:</w:t>
      </w:r>
    </w:p>
    <w:p>
      <w:pPr>
        <w:spacing w:after="0" w:line="10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0"/>
          <w:szCs w:val="20"/>
          <w:b w:val="1"/>
          <w:bCs w:val="1"/>
          <w:color w:val="auto"/>
        </w:rPr>
        <w:t>Johan V. Brigham</w:t>
      </w:r>
    </w:p>
    <w:p>
      <w:pPr>
        <w:spacing w:after="0" w:line="2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0"/>
          <w:szCs w:val="20"/>
          <w:b w:val="1"/>
          <w:bCs w:val="1"/>
          <w:color w:val="auto"/>
        </w:rPr>
        <w:t>Evan Smith</w:t>
      </w:r>
    </w:p>
    <w:p>
      <w:pPr>
        <w:jc w:val="center"/>
        <w:ind w:right="-459"/>
        <w:spacing w:after="0"/>
        <w:rPr>
          <w:sz w:val="20"/>
          <w:szCs w:val="20"/>
          <w:color w:val="auto"/>
        </w:rPr>
      </w:pPr>
      <w:r>
        <w:rPr>
          <w:rFonts w:ascii="Times New Roman" w:cs="Times New Roman" w:eastAsia="Times New Roman" w:hAnsi="Times New Roman"/>
          <w:sz w:val="20"/>
          <w:szCs w:val="20"/>
          <w:b w:val="1"/>
          <w:bCs w:val="1"/>
          <w:color w:val="auto"/>
        </w:rPr>
        <w:t>Latham &amp; Watkins LLP</w:t>
      </w:r>
    </w:p>
    <w:p>
      <w:pPr>
        <w:jc w:val="center"/>
        <w:ind w:right="-459"/>
        <w:spacing w:after="0"/>
        <w:rPr>
          <w:sz w:val="20"/>
          <w:szCs w:val="20"/>
          <w:color w:val="auto"/>
        </w:rPr>
      </w:pPr>
      <w:r>
        <w:rPr>
          <w:rFonts w:ascii="Times New Roman" w:cs="Times New Roman" w:eastAsia="Times New Roman" w:hAnsi="Times New Roman"/>
          <w:sz w:val="20"/>
          <w:szCs w:val="20"/>
          <w:b w:val="1"/>
          <w:bCs w:val="1"/>
          <w:color w:val="auto"/>
        </w:rPr>
        <w:t>200 Clarendon Street, 27th Floor</w:t>
      </w:r>
    </w:p>
    <w:p>
      <w:pPr>
        <w:jc w:val="center"/>
        <w:ind w:right="-459"/>
        <w:spacing w:after="0"/>
        <w:rPr>
          <w:sz w:val="20"/>
          <w:szCs w:val="20"/>
          <w:color w:val="auto"/>
        </w:rPr>
      </w:pPr>
      <w:r>
        <w:rPr>
          <w:rFonts w:ascii="Times New Roman" w:cs="Times New Roman" w:eastAsia="Times New Roman" w:hAnsi="Times New Roman"/>
          <w:sz w:val="20"/>
          <w:szCs w:val="20"/>
          <w:b w:val="1"/>
          <w:bCs w:val="1"/>
          <w:color w:val="auto"/>
        </w:rPr>
        <w:t>Boston, Massachusetts 02116</w:t>
      </w:r>
    </w:p>
    <w:p>
      <w:pPr>
        <w:jc w:val="center"/>
        <w:ind w:right="-459"/>
        <w:spacing w:after="0"/>
        <w:rPr>
          <w:sz w:val="20"/>
          <w:szCs w:val="20"/>
          <w:color w:val="auto"/>
        </w:rPr>
      </w:pPr>
      <w:r>
        <w:rPr>
          <w:rFonts w:ascii="Times New Roman" w:cs="Times New Roman" w:eastAsia="Times New Roman" w:hAnsi="Times New Roman"/>
          <w:sz w:val="20"/>
          <w:szCs w:val="20"/>
          <w:b w:val="1"/>
          <w:bCs w:val="1"/>
          <w:color w:val="auto"/>
        </w:rPr>
        <w:t>(617) 948-6000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154940</wp:posOffset>
            </wp:positionV>
            <wp:extent cx="65982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9828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420" w:right="240"/>
        <w:spacing w:after="0" w:line="280" w:lineRule="auto"/>
        <w:rPr>
          <w:sz w:val="20"/>
          <w:szCs w:val="20"/>
          <w:color w:val="auto"/>
        </w:rPr>
      </w:pPr>
      <w:r>
        <w:rPr>
          <w:rFonts w:ascii="Times New Roman" w:cs="Times New Roman" w:eastAsia="Times New Roman" w:hAnsi="Times New Roman"/>
          <w:sz w:val="20"/>
          <w:szCs w:val="20"/>
          <w:b w:val="1"/>
          <w:bCs w:val="1"/>
          <w:color w:val="auto"/>
        </w:rPr>
        <w:t xml:space="preserve">APPROXIMATE DATE OF COMMENCEMENT OF PROPOSED SALE TO THE PUBLIC: </w:t>
      </w:r>
      <w:r>
        <w:rPr>
          <w:rFonts w:ascii="Times New Roman" w:cs="Times New Roman" w:eastAsia="Times New Roman" w:hAnsi="Times New Roman"/>
          <w:sz w:val="20"/>
          <w:szCs w:val="20"/>
          <w:color w:val="auto"/>
        </w:rPr>
        <w:t>From time to time after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effective date of this registration statement.</w:t>
      </w:r>
    </w:p>
    <w:p>
      <w:pPr>
        <w:spacing w:after="0" w:line="130" w:lineRule="exact"/>
        <w:rPr>
          <w:sz w:val="20"/>
          <w:szCs w:val="20"/>
          <w:color w:val="auto"/>
        </w:rPr>
      </w:pPr>
    </w:p>
    <w:p>
      <w:pPr>
        <w:ind w:left="420"/>
        <w:spacing w:after="0" w:line="270" w:lineRule="exact"/>
        <w:rPr>
          <w:sz w:val="20"/>
          <w:szCs w:val="20"/>
          <w:color w:val="auto"/>
        </w:rPr>
      </w:pPr>
      <w:r>
        <w:rPr>
          <w:rFonts w:ascii="Times New Roman" w:cs="Times New Roman" w:eastAsia="Times New Roman" w:hAnsi="Times New Roman"/>
          <w:sz w:val="20"/>
          <w:szCs w:val="20"/>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20"/>
          <w:szCs w:val="20"/>
          <w:color w:val="auto"/>
        </w:rPr>
        <w:t>☐</w:t>
      </w:r>
    </w:p>
    <w:p>
      <w:pPr>
        <w:spacing w:after="0" w:line="136" w:lineRule="exact"/>
        <w:rPr>
          <w:sz w:val="20"/>
          <w:szCs w:val="20"/>
          <w:color w:val="auto"/>
        </w:rPr>
      </w:pPr>
    </w:p>
    <w:p>
      <w:pPr>
        <w:ind w:left="420" w:right="80"/>
        <w:spacing w:after="0" w:line="256" w:lineRule="exact"/>
        <w:rPr>
          <w:sz w:val="20"/>
          <w:szCs w:val="20"/>
          <w:color w:val="auto"/>
        </w:rPr>
      </w:pPr>
      <w:r>
        <w:rPr>
          <w:rFonts w:ascii="Times New Roman" w:cs="Times New Roman" w:eastAsia="Times New Roman" w:hAnsi="Times New Roman"/>
          <w:sz w:val="20"/>
          <w:szCs w:val="20"/>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20"/>
          <w:szCs w:val="20"/>
          <w:color w:val="auto"/>
        </w:rPr>
        <w:t>☒</w:t>
      </w:r>
    </w:p>
    <w:p>
      <w:pPr>
        <w:spacing w:after="0" w:line="137" w:lineRule="exact"/>
        <w:rPr>
          <w:sz w:val="20"/>
          <w:szCs w:val="20"/>
          <w:color w:val="auto"/>
        </w:rPr>
      </w:pPr>
    </w:p>
    <w:p>
      <w:pPr>
        <w:ind w:left="420" w:right="80"/>
        <w:spacing w:after="0" w:line="256" w:lineRule="exact"/>
        <w:rPr>
          <w:sz w:val="20"/>
          <w:szCs w:val="20"/>
          <w:color w:val="auto"/>
        </w:rPr>
      </w:pPr>
      <w:r>
        <w:rPr>
          <w:rFonts w:ascii="Times New Roman" w:cs="Times New Roman" w:eastAsia="Times New Roman" w:hAnsi="Times New Roman"/>
          <w:sz w:val="20"/>
          <w:szCs w:val="20"/>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20"/>
          <w:szCs w:val="20"/>
          <w:color w:val="auto"/>
        </w:rPr>
        <w:t>☐</w:t>
      </w:r>
    </w:p>
    <w:p>
      <w:pPr>
        <w:spacing w:after="0" w:line="137" w:lineRule="exact"/>
        <w:rPr>
          <w:sz w:val="20"/>
          <w:szCs w:val="20"/>
          <w:color w:val="auto"/>
        </w:rPr>
      </w:pPr>
    </w:p>
    <w:p>
      <w:pPr>
        <w:ind w:left="420" w:right="40"/>
        <w:spacing w:after="0" w:line="270" w:lineRule="exact"/>
        <w:rPr>
          <w:sz w:val="20"/>
          <w:szCs w:val="20"/>
          <w:color w:val="auto"/>
        </w:rPr>
      </w:pPr>
      <w:r>
        <w:rPr>
          <w:rFonts w:ascii="Times New Roman" w:cs="Times New Roman" w:eastAsia="Times New Roman" w:hAnsi="Times New Roman"/>
          <w:sz w:val="20"/>
          <w:szCs w:val="20"/>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20"/>
          <w:szCs w:val="20"/>
          <w:color w:val="auto"/>
        </w:rPr>
        <w:t>☐</w:t>
      </w:r>
    </w:p>
    <w:p>
      <w:pPr>
        <w:spacing w:after="0" w:line="136" w:lineRule="exact"/>
        <w:rPr>
          <w:sz w:val="20"/>
          <w:szCs w:val="20"/>
          <w:color w:val="auto"/>
        </w:rPr>
      </w:pPr>
    </w:p>
    <w:p>
      <w:pPr>
        <w:ind w:left="420" w:right="20"/>
        <w:spacing w:after="0" w:line="270" w:lineRule="exact"/>
        <w:rPr>
          <w:sz w:val="20"/>
          <w:szCs w:val="20"/>
          <w:color w:val="auto"/>
        </w:rPr>
      </w:pPr>
      <w:r>
        <w:rPr>
          <w:rFonts w:ascii="Times New Roman" w:cs="Times New Roman" w:eastAsia="Times New Roman" w:hAnsi="Times New Roman"/>
          <w:sz w:val="20"/>
          <w:szCs w:val="20"/>
          <w:color w:val="auto"/>
        </w:rPr>
        <w:t xml:space="preserve">If this Form is a registration statement pursuant to General Instruction I.D. or a post-effective amendment thereto that shall become effective on filing with the Commission pursuant to Rule 462(e) under the Securities Act, check the following box.  </w:t>
      </w:r>
      <w:r>
        <w:rPr>
          <w:rFonts w:ascii="MS PGothic" w:cs="MS PGothic" w:eastAsia="MS PGothic" w:hAnsi="MS PGothic"/>
          <w:sz w:val="20"/>
          <w:szCs w:val="20"/>
          <w:color w:val="auto"/>
        </w:rPr>
        <w:t>☐</w:t>
      </w:r>
    </w:p>
    <w:p>
      <w:pPr>
        <w:spacing w:after="0" w:line="136" w:lineRule="exact"/>
        <w:rPr>
          <w:sz w:val="20"/>
          <w:szCs w:val="20"/>
          <w:color w:val="auto"/>
        </w:rPr>
      </w:pPr>
    </w:p>
    <w:p>
      <w:pPr>
        <w:ind w:left="420" w:right="40"/>
        <w:spacing w:after="0" w:line="256" w:lineRule="exact"/>
        <w:rPr>
          <w:sz w:val="20"/>
          <w:szCs w:val="20"/>
          <w:color w:val="auto"/>
        </w:rPr>
      </w:pPr>
      <w:r>
        <w:rPr>
          <w:rFonts w:ascii="Times New Roman" w:cs="Times New Roman" w:eastAsia="Times New Roman" w:hAnsi="Times New Roman"/>
          <w:sz w:val="20"/>
          <w:szCs w:val="20"/>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20"/>
          <w:szCs w:val="20"/>
          <w:color w:val="auto"/>
        </w:rPr>
        <w:t>☐</w:t>
      </w:r>
    </w:p>
    <w:p>
      <w:pPr>
        <w:spacing w:after="0" w:line="137" w:lineRule="exact"/>
        <w:rPr>
          <w:sz w:val="20"/>
          <w:szCs w:val="20"/>
          <w:color w:val="auto"/>
        </w:rPr>
      </w:pPr>
    </w:p>
    <w:p>
      <w:pPr>
        <w:ind w:left="420" w:right="220"/>
        <w:spacing w:after="0" w:line="257" w:lineRule="auto"/>
        <w:rPr>
          <w:sz w:val="20"/>
          <w:szCs w:val="20"/>
          <w:color w:val="auto"/>
        </w:rPr>
      </w:pPr>
      <w:r>
        <w:rPr>
          <w:rFonts w:ascii="Times New Roman" w:cs="Times New Roman" w:eastAsia="Times New Roman" w:hAnsi="Times New Roman"/>
          <w:sz w:val="20"/>
          <w:szCs w:val="20"/>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5" w:lineRule="exact"/>
        <w:rPr>
          <w:sz w:val="20"/>
          <w:szCs w:val="20"/>
          <w:color w:val="auto"/>
        </w:rPr>
      </w:pPr>
    </w:p>
    <w:tbl>
      <w:tblPr>
        <w:tblLayout w:type="fixed"/>
        <w:tblInd w:w="420" w:type="dxa"/>
        <w:tblCellMar>
          <w:top w:w="0" w:type="dxa"/>
          <w:left w:w="0" w:type="dxa"/>
          <w:bottom w:w="0" w:type="dxa"/>
          <w:right w:w="0" w:type="dxa"/>
        </w:tblCellMar>
      </w:tblPr>
      <w:tr>
        <w:trPr>
          <w:trHeight w:val="343"/>
        </w:trPr>
        <w:tc>
          <w:tcPr>
            <w:tcW w:w="2220" w:type="dxa"/>
            <w:vAlign w:val="bottom"/>
          </w:tcPr>
          <w:p>
            <w:pPr>
              <w:spacing w:after="0"/>
              <w:rPr>
                <w:sz w:val="20"/>
                <w:szCs w:val="20"/>
                <w:color w:val="auto"/>
              </w:rPr>
            </w:pPr>
            <w:r>
              <w:rPr>
                <w:rFonts w:ascii="Times New Roman" w:cs="Times New Roman" w:eastAsia="Times New Roman" w:hAnsi="Times New Roman"/>
                <w:sz w:val="20"/>
                <w:szCs w:val="20"/>
                <w:color w:val="auto"/>
              </w:rPr>
              <w:t>Large accelerated filer</w:t>
            </w:r>
          </w:p>
        </w:tc>
        <w:tc>
          <w:tcPr>
            <w:tcW w:w="2680" w:type="dxa"/>
            <w:vAlign w:val="bottom"/>
          </w:tcPr>
          <w:p>
            <w:pPr>
              <w:ind w:left="400"/>
              <w:spacing w:after="0" w:line="201" w:lineRule="exact"/>
              <w:rPr>
                <w:sz w:val="20"/>
                <w:szCs w:val="20"/>
                <w:color w:val="auto"/>
              </w:rPr>
            </w:pPr>
            <w:r>
              <w:rPr>
                <w:rFonts w:ascii="MS PGothic" w:cs="MS PGothic" w:eastAsia="MS PGothic" w:hAnsi="MS PGothic"/>
                <w:sz w:val="20"/>
                <w:szCs w:val="20"/>
                <w:color w:val="auto"/>
              </w:rPr>
              <w:t>☐</w:t>
            </w:r>
          </w:p>
        </w:tc>
        <w:tc>
          <w:tcPr>
            <w:tcW w:w="4760" w:type="dxa"/>
            <w:vAlign w:val="bottom"/>
          </w:tcPr>
          <w:p>
            <w:pPr>
              <w:ind w:left="2080"/>
              <w:spacing w:after="0"/>
              <w:rPr>
                <w:sz w:val="20"/>
                <w:szCs w:val="20"/>
                <w:color w:val="auto"/>
              </w:rPr>
            </w:pPr>
            <w:r>
              <w:rPr>
                <w:rFonts w:ascii="Times New Roman" w:cs="Times New Roman" w:eastAsia="Times New Roman" w:hAnsi="Times New Roman"/>
                <w:sz w:val="20"/>
                <w:szCs w:val="20"/>
                <w:color w:val="auto"/>
              </w:rPr>
              <w:t>Accelerated filer</w:t>
            </w:r>
          </w:p>
        </w:tc>
        <w:tc>
          <w:tcPr>
            <w:tcW w:w="620" w:type="dxa"/>
            <w:vAlign w:val="bottom"/>
          </w:tcPr>
          <w:p>
            <w:pPr>
              <w:ind w:left="44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344"/>
        </w:trPr>
        <w:tc>
          <w:tcPr>
            <w:tcW w:w="2220" w:type="dxa"/>
            <w:vAlign w:val="bottom"/>
          </w:tcPr>
          <w:p>
            <w:pPr>
              <w:spacing w:after="0"/>
              <w:rPr>
                <w:sz w:val="20"/>
                <w:szCs w:val="20"/>
                <w:color w:val="auto"/>
              </w:rPr>
            </w:pPr>
            <w:r>
              <w:rPr>
                <w:rFonts w:ascii="Times New Roman" w:cs="Times New Roman" w:eastAsia="Times New Roman" w:hAnsi="Times New Roman"/>
                <w:sz w:val="20"/>
                <w:szCs w:val="20"/>
                <w:color w:val="auto"/>
              </w:rPr>
              <w:t>Non-accelerated filer</w:t>
            </w:r>
          </w:p>
        </w:tc>
        <w:tc>
          <w:tcPr>
            <w:tcW w:w="2680" w:type="dxa"/>
            <w:vAlign w:val="bottom"/>
          </w:tcPr>
          <w:p>
            <w:pPr>
              <w:ind w:left="400"/>
              <w:spacing w:after="0" w:line="201" w:lineRule="exact"/>
              <w:rPr>
                <w:sz w:val="20"/>
                <w:szCs w:val="20"/>
                <w:color w:val="auto"/>
              </w:rPr>
            </w:pPr>
            <w:r>
              <w:rPr>
                <w:rFonts w:ascii="MS PGothic" w:cs="MS PGothic" w:eastAsia="MS PGothic" w:hAnsi="MS PGothic"/>
                <w:sz w:val="20"/>
                <w:szCs w:val="20"/>
                <w:color w:val="auto"/>
              </w:rPr>
              <w:t>☒</w:t>
            </w:r>
          </w:p>
        </w:tc>
        <w:tc>
          <w:tcPr>
            <w:tcW w:w="4760" w:type="dxa"/>
            <w:vAlign w:val="bottom"/>
          </w:tcPr>
          <w:p>
            <w:pPr>
              <w:ind w:left="2080"/>
              <w:spacing w:after="0"/>
              <w:rPr>
                <w:sz w:val="20"/>
                <w:szCs w:val="20"/>
                <w:color w:val="auto"/>
              </w:rPr>
            </w:pPr>
            <w:r>
              <w:rPr>
                <w:rFonts w:ascii="Times New Roman" w:cs="Times New Roman" w:eastAsia="Times New Roman" w:hAnsi="Times New Roman"/>
                <w:sz w:val="20"/>
                <w:szCs w:val="20"/>
                <w:color w:val="auto"/>
              </w:rPr>
              <w:t>Smaller reporting company</w:t>
            </w:r>
          </w:p>
        </w:tc>
        <w:tc>
          <w:tcPr>
            <w:tcW w:w="620" w:type="dxa"/>
            <w:vAlign w:val="bottom"/>
          </w:tcPr>
          <w:p>
            <w:pPr>
              <w:ind w:left="44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344"/>
        </w:trPr>
        <w:tc>
          <w:tcPr>
            <w:tcW w:w="22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760" w:type="dxa"/>
            <w:vAlign w:val="bottom"/>
          </w:tcPr>
          <w:p>
            <w:pPr>
              <w:ind w:left="2080"/>
              <w:spacing w:after="0"/>
              <w:rPr>
                <w:sz w:val="20"/>
                <w:szCs w:val="20"/>
                <w:color w:val="auto"/>
              </w:rPr>
            </w:pPr>
            <w:r>
              <w:rPr>
                <w:rFonts w:ascii="Times New Roman" w:cs="Times New Roman" w:eastAsia="Times New Roman" w:hAnsi="Times New Roman"/>
                <w:sz w:val="20"/>
                <w:szCs w:val="20"/>
                <w:color w:val="auto"/>
              </w:rPr>
              <w:t>Emerging growth company</w:t>
            </w:r>
          </w:p>
        </w:tc>
        <w:tc>
          <w:tcPr>
            <w:tcW w:w="620" w:type="dxa"/>
            <w:vAlign w:val="bottom"/>
          </w:tcPr>
          <w:p>
            <w:pPr>
              <w:ind w:left="440"/>
              <w:spacing w:after="0" w:line="201" w:lineRule="exact"/>
              <w:rPr>
                <w:sz w:val="20"/>
                <w:szCs w:val="20"/>
                <w:color w:val="auto"/>
              </w:rPr>
            </w:pPr>
            <w:r>
              <w:rPr>
                <w:rFonts w:ascii="MS PGothic" w:cs="MS PGothic" w:eastAsia="MS PGothic" w:hAnsi="MS PGothic"/>
                <w:sz w:val="20"/>
                <w:szCs w:val="20"/>
                <w:color w:val="auto"/>
                <w:w w:val="79"/>
              </w:rPr>
              <w:t>☐</w:t>
            </w:r>
          </w:p>
        </w:tc>
      </w:tr>
    </w:tbl>
    <w:p>
      <w:pPr>
        <w:sectPr>
          <w:pgSz w:w="11900" w:h="16838" w:orient="portrait"/>
          <w:cols w:equalWidth="0" w:num="1">
            <w:col w:w="10780"/>
          </w:cols>
          <w:pgMar w:left="320" w:top="437" w:right="7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6" w:lineRule="exact"/>
        <w:rPr>
          <w:sz w:val="20"/>
          <w:szCs w:val="20"/>
          <w:color w:val="auto"/>
        </w:rPr>
      </w:pPr>
    </w:p>
    <w:p>
      <w:pPr>
        <w:ind w:left="420" w:right="80"/>
        <w:spacing w:after="0" w:line="253" w:lineRule="auto"/>
        <w:rPr>
          <w:sz w:val="20"/>
          <w:szCs w:val="20"/>
          <w:color w:val="auto"/>
        </w:rPr>
      </w:pPr>
      <w:r>
        <w:rPr>
          <w:rFonts w:ascii="Times New Roman" w:cs="Times New Roman" w:eastAsia="Times New Roman" w:hAnsi="Times New Roman"/>
          <w:sz w:val="20"/>
          <w:szCs w:val="20"/>
          <w:color w:val="auto"/>
        </w:rPr>
        <w:t>If an emerging growth company, indicate by check mark if the registrant has elected not to use the extended transition period for comply with any new or revised financial accounting standards provided pursuant to Section 7(a)(2)(B) of Securities Act. </w:t>
      </w:r>
    </w:p>
    <w:p>
      <w:pPr>
        <w:spacing w:after="0" w:line="1" w:lineRule="exact"/>
        <w:rPr>
          <w:sz w:val="20"/>
          <w:szCs w:val="20"/>
          <w:color w:val="auto"/>
        </w:rPr>
      </w:pPr>
    </w:p>
    <w:p>
      <w:pPr>
        <w:ind w:left="420"/>
        <w:spacing w:after="0" w:line="201" w:lineRule="exact"/>
        <w:rPr>
          <w:sz w:val="20"/>
          <w:szCs w:val="20"/>
          <w:color w:val="auto"/>
        </w:rPr>
      </w:pPr>
      <w:r>
        <w:rPr>
          <w:rFonts w:ascii="MS PGothic" w:cs="MS PGothic" w:eastAsia="MS PGothic" w:hAnsi="MS PGothic"/>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211455</wp:posOffset>
            </wp:positionV>
            <wp:extent cx="65982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9828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420"/>
        <w:spacing w:after="0" w:line="250" w:lineRule="auto"/>
        <w:rPr>
          <w:sz w:val="20"/>
          <w:szCs w:val="20"/>
          <w:color w:val="auto"/>
        </w:rPr>
      </w:pPr>
      <w:r>
        <w:rPr>
          <w:rFonts w:ascii="Times New Roman" w:cs="Times New Roman" w:eastAsia="Times New Roman" w:hAnsi="Times New Roman"/>
          <w:sz w:val="20"/>
          <w:szCs w:val="20"/>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525780</wp:posOffset>
            </wp:positionV>
            <wp:extent cx="65982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98285" cy="8255"/>
                    </a:xfrm>
                    <a:prstGeom prst="rect">
                      <a:avLst/>
                    </a:prstGeom>
                    <a:noFill/>
                  </pic:spPr>
                </pic:pic>
              </a:graphicData>
            </a:graphic>
          </wp:anchor>
        </w:drawing>
      </w:r>
    </w:p>
    <w:p>
      <w:pPr>
        <w:sectPr>
          <w:pgSz w:w="11900" w:h="16838" w:orient="portrait"/>
          <w:cols w:equalWidth="0" w:num="1">
            <w:col w:w="10760"/>
          </w:cols>
          <w:pgMar w:left="320" w:top="437" w:right="8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b w:val="1"/>
          <w:bCs w:val="1"/>
          <w:color w:val="auto"/>
        </w:rPr>
        <w:t>EXPLANATORY NOTE</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This registration statement contains:</w:t>
      </w:r>
    </w:p>
    <w:p>
      <w:pPr>
        <w:spacing w:after="0" w:line="228" w:lineRule="exact"/>
        <w:rPr>
          <w:sz w:val="20"/>
          <w:szCs w:val="20"/>
          <w:color w:val="auto"/>
        </w:rPr>
      </w:pPr>
    </w:p>
    <w:p>
      <w:pPr>
        <w:ind w:left="1240" w:right="280" w:hanging="404"/>
        <w:spacing w:after="0" w:line="276" w:lineRule="auto"/>
        <w:tabs>
          <w:tab w:leader="none" w:pos="12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base prospectus which covers the offering, issuance and sale by us of up to $150,000,000 in the aggregate of the securities identified above from time to time in one or more offerings; and</w:t>
      </w:r>
    </w:p>
    <w:p>
      <w:pPr>
        <w:spacing w:after="0" w:line="158" w:lineRule="exact"/>
        <w:rPr>
          <w:rFonts w:ascii="Times New Roman" w:cs="Times New Roman" w:eastAsia="Times New Roman" w:hAnsi="Times New Roman"/>
          <w:sz w:val="20"/>
          <w:szCs w:val="20"/>
          <w:color w:val="auto"/>
        </w:rPr>
      </w:pPr>
    </w:p>
    <w:p>
      <w:pPr>
        <w:ind w:left="1240" w:hanging="404"/>
        <w:spacing w:after="0" w:line="257" w:lineRule="auto"/>
        <w:tabs>
          <w:tab w:leader="none" w:pos="12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sales agreement prospectus covering the offering, issuance and sale by us of up to a maximum aggregate offering price of $14,658,742 of our common stock that may be issued and sold under the At The Market Offering Agreement (“sales agreement”) dated July 19, 2024, with H.C. Wainwright &amp; Co., LLC.</w:t>
      </w:r>
    </w:p>
    <w:p>
      <w:pPr>
        <w:spacing w:after="0" w:line="1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The base prospectus immediately follows this explanatory note. The specific terms of any securities to be offered pursuant to</w:t>
      </w:r>
    </w:p>
    <w:p>
      <w:pPr>
        <w:spacing w:after="0" w:line="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the base prospectus will be specified in a prospectus supplement to the base prospectus. The sales agreement prospectus</w:t>
      </w:r>
    </w:p>
    <w:p>
      <w:pPr>
        <w:ind w:left="420"/>
        <w:spacing w:after="0"/>
        <w:rPr>
          <w:sz w:val="20"/>
          <w:szCs w:val="20"/>
          <w:color w:val="auto"/>
        </w:rPr>
      </w:pPr>
      <w:r>
        <w:rPr>
          <w:rFonts w:ascii="Times New Roman" w:cs="Times New Roman" w:eastAsia="Times New Roman" w:hAnsi="Times New Roman"/>
          <w:sz w:val="20"/>
          <w:szCs w:val="20"/>
          <w:color w:val="auto"/>
        </w:rPr>
        <w:t>immediately follows the base prospectus. The $14,658,742 of common stock that may be offered, issued and sold under the</w:t>
      </w:r>
    </w:p>
    <w:p>
      <w:pPr>
        <w:ind w:left="420"/>
        <w:spacing w:after="0"/>
        <w:rPr>
          <w:sz w:val="20"/>
          <w:szCs w:val="20"/>
          <w:color w:val="auto"/>
        </w:rPr>
      </w:pPr>
      <w:r>
        <w:rPr>
          <w:rFonts w:ascii="Times New Roman" w:cs="Times New Roman" w:eastAsia="Times New Roman" w:hAnsi="Times New Roman"/>
          <w:sz w:val="20"/>
          <w:szCs w:val="20"/>
          <w:color w:val="auto"/>
        </w:rPr>
        <w:t>sales agreement prospectus is included in the $150,000,000 of securities that may be offered, issued and sold by us under the</w:t>
      </w:r>
    </w:p>
    <w:p>
      <w:pPr>
        <w:ind w:left="420"/>
        <w:spacing w:after="0"/>
        <w:rPr>
          <w:sz w:val="20"/>
          <w:szCs w:val="20"/>
          <w:color w:val="auto"/>
        </w:rPr>
      </w:pPr>
      <w:r>
        <w:rPr>
          <w:rFonts w:ascii="Times New Roman" w:cs="Times New Roman" w:eastAsia="Times New Roman" w:hAnsi="Times New Roman"/>
          <w:sz w:val="20"/>
          <w:szCs w:val="20"/>
          <w:color w:val="auto"/>
        </w:rPr>
        <w:t>base prospectus. Upon termination of the sales agreement, any portion of the amount included in the sales agreement</w:t>
      </w:r>
    </w:p>
    <w:p>
      <w:pPr>
        <w:ind w:left="420"/>
        <w:spacing w:after="0"/>
        <w:rPr>
          <w:sz w:val="20"/>
          <w:szCs w:val="20"/>
          <w:color w:val="auto"/>
        </w:rPr>
      </w:pPr>
      <w:r>
        <w:rPr>
          <w:rFonts w:ascii="Times New Roman" w:cs="Times New Roman" w:eastAsia="Times New Roman" w:hAnsi="Times New Roman"/>
          <w:sz w:val="20"/>
          <w:szCs w:val="20"/>
          <w:color w:val="auto"/>
        </w:rPr>
        <w:t>prospectus that is not sold pursuant to the sales agreement will be available for sale in other offerings pursuant to the base</w:t>
      </w:r>
    </w:p>
    <w:p>
      <w:pPr>
        <w:ind w:left="420"/>
        <w:spacing w:after="0"/>
        <w:rPr>
          <w:sz w:val="20"/>
          <w:szCs w:val="20"/>
          <w:color w:val="auto"/>
        </w:rPr>
      </w:pPr>
      <w:r>
        <w:rPr>
          <w:rFonts w:ascii="Times New Roman" w:cs="Times New Roman" w:eastAsia="Times New Roman" w:hAnsi="Times New Roman"/>
          <w:sz w:val="20"/>
          <w:szCs w:val="20"/>
          <w:color w:val="auto"/>
        </w:rPr>
        <w:t>prospectus and a corresponding prospectus supplement, and if no shares are sold under the sales agreement, the full</w:t>
      </w:r>
    </w:p>
    <w:p>
      <w:pPr>
        <w:ind w:left="420"/>
        <w:spacing w:after="0"/>
        <w:rPr>
          <w:sz w:val="20"/>
          <w:szCs w:val="20"/>
          <w:color w:val="auto"/>
        </w:rPr>
      </w:pPr>
      <w:r>
        <w:rPr>
          <w:rFonts w:ascii="Times New Roman" w:cs="Times New Roman" w:eastAsia="Times New Roman" w:hAnsi="Times New Roman"/>
          <w:sz w:val="20"/>
          <w:szCs w:val="20"/>
          <w:color w:val="auto"/>
        </w:rPr>
        <w:t>$150,000,000 of securities may be sold in other offerings pursuant to the base prospectus and a corresponding prospectus</w:t>
      </w:r>
    </w:p>
    <w:p>
      <w:pPr>
        <w:ind w:left="420"/>
        <w:spacing w:after="0"/>
        <w:rPr>
          <w:sz w:val="20"/>
          <w:szCs w:val="20"/>
          <w:color w:val="auto"/>
        </w:rPr>
      </w:pPr>
      <w:r>
        <w:rPr>
          <w:rFonts w:ascii="Times New Roman" w:cs="Times New Roman" w:eastAsia="Times New Roman" w:hAnsi="Times New Roman"/>
          <w:sz w:val="20"/>
          <w:szCs w:val="20"/>
          <w:color w:val="auto"/>
        </w:rPr>
        <w:t>supplement.</w:t>
      </w:r>
    </w:p>
    <w:p>
      <w:pPr>
        <w:sectPr>
          <w:pgSz w:w="11900" w:h="16838" w:orient="portrait"/>
          <w:cols w:equalWidth="0" w:num="1">
            <w:col w:w="10800"/>
          </w:cols>
          <w:pgMar w:left="320" w:top="437" w:right="7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2" w:lineRule="exact"/>
        <w:rPr>
          <w:sz w:val="20"/>
          <w:szCs w:val="20"/>
          <w:color w:val="auto"/>
        </w:rPr>
      </w:pPr>
    </w:p>
    <w:p>
      <w:pPr>
        <w:ind w:left="420" w:right="200"/>
        <w:spacing w:after="0" w:line="252" w:lineRule="auto"/>
        <w:rPr>
          <w:sz w:val="20"/>
          <w:szCs w:val="20"/>
          <w:color w:val="auto"/>
        </w:rPr>
      </w:pPr>
      <w:r>
        <w:rPr>
          <w:rFonts w:ascii="Times New Roman" w:cs="Times New Roman" w:eastAsia="Times New Roman" w:hAnsi="Times New Roman"/>
          <w:sz w:val="20"/>
          <w:szCs w:val="20"/>
          <w:b w:val="1"/>
          <w:bCs w:val="1"/>
          <w:color w:val="FF2133"/>
        </w:rPr>
        <w:t>The information in this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5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b w:val="1"/>
          <w:bCs w:val="1"/>
          <w:color w:val="FF2133"/>
        </w:rPr>
        <w:t>Subject to Completion, dated July 19, 2024.</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2799080</wp:posOffset>
            </wp:positionH>
            <wp:positionV relativeFrom="paragraph">
              <wp:posOffset>163830</wp:posOffset>
            </wp:positionV>
            <wp:extent cx="1552575" cy="5581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52575" cy="558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34"/>
          <w:szCs w:val="34"/>
          <w:b w:val="1"/>
          <w:bCs w:val="1"/>
          <w:color w:val="auto"/>
        </w:rPr>
        <w:t>$150,000,000</w:t>
      </w:r>
    </w:p>
    <w:p>
      <w:pPr>
        <w:spacing w:after="0" w:line="212"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27"/>
          <w:szCs w:val="27"/>
          <w:b w:val="1"/>
          <w:bCs w:val="1"/>
          <w:color w:val="auto"/>
        </w:rPr>
        <w:t>Common Stock</w:t>
      </w:r>
    </w:p>
    <w:p>
      <w:pPr>
        <w:spacing w:after="0" w:line="4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27"/>
          <w:szCs w:val="27"/>
          <w:b w:val="1"/>
          <w:bCs w:val="1"/>
          <w:color w:val="auto"/>
        </w:rPr>
        <w:t>Preferred Stock</w:t>
      </w:r>
    </w:p>
    <w:p>
      <w:pPr>
        <w:spacing w:after="0" w:line="8"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27"/>
          <w:szCs w:val="27"/>
          <w:b w:val="1"/>
          <w:bCs w:val="1"/>
          <w:color w:val="auto"/>
        </w:rPr>
        <w:t>Debt Securities</w:t>
      </w:r>
    </w:p>
    <w:p>
      <w:pPr>
        <w:spacing w:after="0" w:line="8"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27"/>
          <w:szCs w:val="27"/>
          <w:b w:val="1"/>
          <w:bCs w:val="1"/>
          <w:color w:val="auto"/>
        </w:rPr>
        <w:t>Warrants</w:t>
      </w:r>
    </w:p>
    <w:p>
      <w:pPr>
        <w:spacing w:after="0" w:line="8"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27"/>
          <w:szCs w:val="27"/>
          <w:b w:val="1"/>
          <w:bCs w:val="1"/>
          <w:color w:val="auto"/>
        </w:rPr>
        <w:t>Units</w:t>
      </w:r>
    </w:p>
    <w:p>
      <w:pPr>
        <w:spacing w:after="0" w:line="186" w:lineRule="exact"/>
        <w:rPr>
          <w:sz w:val="20"/>
          <w:szCs w:val="20"/>
          <w:color w:val="auto"/>
        </w:rPr>
      </w:pPr>
    </w:p>
    <w:p>
      <w:pPr>
        <w:ind w:left="420" w:right="120"/>
        <w:spacing w:after="0" w:line="276" w:lineRule="auto"/>
        <w:rPr>
          <w:sz w:val="20"/>
          <w:szCs w:val="20"/>
          <w:color w:val="auto"/>
        </w:rPr>
      </w:pPr>
      <w:r>
        <w:rPr>
          <w:rFonts w:ascii="Times New Roman" w:cs="Times New Roman" w:eastAsia="Times New Roman" w:hAnsi="Times New Roman"/>
          <w:sz w:val="20"/>
          <w:szCs w:val="20"/>
          <w:color w:val="auto"/>
        </w:rPr>
        <w:t>We may offer and sell up to $150,000,000 in the aggregate of the securities identified above from time to time in one or more offerings. This prospectus provides you with a general description of the securities.</w:t>
      </w:r>
    </w:p>
    <w:p>
      <w:pPr>
        <w:spacing w:after="0" w:line="133" w:lineRule="exact"/>
        <w:rPr>
          <w:sz w:val="20"/>
          <w:szCs w:val="20"/>
          <w:color w:val="auto"/>
        </w:rPr>
      </w:pPr>
    </w:p>
    <w:p>
      <w:pPr>
        <w:ind w:left="420"/>
        <w:spacing w:after="0" w:line="251" w:lineRule="auto"/>
        <w:rPr>
          <w:sz w:val="20"/>
          <w:szCs w:val="20"/>
          <w:color w:val="auto"/>
        </w:rPr>
      </w:pPr>
      <w:r>
        <w:rPr>
          <w:rFonts w:ascii="Times New Roman" w:cs="Times New Roman" w:eastAsia="Times New Roman" w:hAnsi="Times New Roman"/>
          <w:sz w:val="20"/>
          <w:szCs w:val="20"/>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159" w:lineRule="exact"/>
        <w:rPr>
          <w:sz w:val="20"/>
          <w:szCs w:val="20"/>
          <w:color w:val="auto"/>
        </w:rPr>
      </w:pPr>
    </w:p>
    <w:p>
      <w:pPr>
        <w:ind w:left="420" w:right="160"/>
        <w:spacing w:after="0" w:line="245" w:lineRule="auto"/>
        <w:rPr>
          <w:sz w:val="20"/>
          <w:szCs w:val="20"/>
          <w:color w:val="auto"/>
        </w:rPr>
      </w:pPr>
      <w:r>
        <w:rPr>
          <w:rFonts w:ascii="Times New Roman" w:cs="Times New Roman" w:eastAsia="Times New Roman" w:hAnsi="Times New Roman"/>
          <w:sz w:val="20"/>
          <w:szCs w:val="20"/>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165" w:lineRule="exact"/>
        <w:rPr>
          <w:sz w:val="20"/>
          <w:szCs w:val="20"/>
          <w:color w:val="auto"/>
        </w:rPr>
      </w:pPr>
    </w:p>
    <w:p>
      <w:pPr>
        <w:ind w:left="420" w:right="220"/>
        <w:spacing w:after="0" w:line="276" w:lineRule="auto"/>
        <w:rPr>
          <w:sz w:val="20"/>
          <w:szCs w:val="20"/>
          <w:color w:val="auto"/>
        </w:rPr>
      </w:pPr>
      <w:r>
        <w:rPr>
          <w:rFonts w:ascii="Times New Roman" w:cs="Times New Roman" w:eastAsia="Times New Roman" w:hAnsi="Times New Roman"/>
          <w:sz w:val="20"/>
          <w:szCs w:val="20"/>
          <w:color w:val="auto"/>
        </w:rPr>
        <w:t>The aggregate market value of our outstanding common stock held by non-affiliates pursuant to General Instruction I.B.6 of Form S-3 was $43,976,228, which was calculated based on</w:t>
      </w:r>
    </w:p>
    <w:p>
      <w:pPr>
        <w:sectPr>
          <w:pgSz w:w="11900" w:h="16838" w:orient="portrait"/>
          <w:cols w:equalWidth="0" w:num="1">
            <w:col w:w="10760"/>
          </w:cols>
          <w:pgMar w:left="320" w:top="437" w:right="8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6" w:lineRule="exact"/>
        <w:rPr>
          <w:sz w:val="20"/>
          <w:szCs w:val="20"/>
          <w:color w:val="auto"/>
        </w:rPr>
      </w:pPr>
    </w:p>
    <w:p>
      <w:pPr>
        <w:ind w:left="420"/>
        <w:spacing w:after="0" w:line="251" w:lineRule="auto"/>
        <w:rPr>
          <w:sz w:val="20"/>
          <w:szCs w:val="20"/>
          <w:color w:val="auto"/>
        </w:rPr>
      </w:pPr>
      <w:r>
        <w:rPr>
          <w:rFonts w:ascii="Times New Roman" w:cs="Times New Roman" w:eastAsia="Times New Roman" w:hAnsi="Times New Roman"/>
          <w:sz w:val="20"/>
          <w:szCs w:val="20"/>
          <w:color w:val="auto"/>
        </w:rPr>
        <w:t>17,394,249 shares of common stock outstanding, as of July 17, 2024, of which 6,713,928 shares were held by non-affiliates, and a price per share of $6.55 which was the closing sale price of our common stock on the Nasdaq Capital Market on June 24, 2024. During the 12 calendar months prior to and including the date of this prospectus, we have not offered and sold any shares of common stock pursuant to General Instruction I.B.6.</w:t>
      </w:r>
    </w:p>
    <w:p>
      <w:pPr>
        <w:spacing w:after="0" w:line="155" w:lineRule="exact"/>
        <w:rPr>
          <w:sz w:val="20"/>
          <w:szCs w:val="20"/>
          <w:color w:val="auto"/>
        </w:rPr>
      </w:pPr>
    </w:p>
    <w:p>
      <w:pPr>
        <w:ind w:left="420" w:right="700"/>
        <w:spacing w:after="0" w:line="252" w:lineRule="auto"/>
        <w:rPr>
          <w:sz w:val="20"/>
          <w:szCs w:val="20"/>
          <w:color w:val="auto"/>
        </w:rPr>
      </w:pPr>
      <w:r>
        <w:rPr>
          <w:rFonts w:ascii="Times New Roman" w:cs="Times New Roman" w:eastAsia="Times New Roman" w:hAnsi="Times New Roman"/>
          <w:sz w:val="20"/>
          <w:szCs w:val="20"/>
          <w:b w:val="1"/>
          <w:bCs w:val="1"/>
          <w:color w:val="auto"/>
        </w:rPr>
        <w:t>INVESTING IN OUR SECURITIES INVOLVES RISKS. SEE THE “</w:t>
      </w:r>
      <w:r>
        <w:rPr>
          <w:rFonts w:ascii="Times New Roman" w:cs="Times New Roman" w:eastAsia="Times New Roman" w:hAnsi="Times New Roman"/>
          <w:sz w:val="20"/>
          <w:szCs w:val="20"/>
          <w:b w:val="1"/>
          <w:bCs w:val="1"/>
          <w:u w:val="single" w:color="auto"/>
          <w:color w:val="0000EE"/>
        </w:rPr>
        <w:t>RISK FACTORS</w:t>
      </w:r>
      <w:r>
        <w:rPr>
          <w:rFonts w:ascii="Times New Roman" w:cs="Times New Roman" w:eastAsia="Times New Roman" w:hAnsi="Times New Roman"/>
          <w:sz w:val="20"/>
          <w:szCs w:val="20"/>
          <w:b w:val="1"/>
          <w:bCs w:val="1"/>
          <w:color w:val="auto"/>
        </w:rPr>
        <w:t>” ON PAGE 6 OF THIS PROSPECTUS AND ANY SIMILAR SECTION CONTAINED IN THE APPLICABLE PROSPECTUS SUPPLEMENT CONCERNING FACTORS YOU SHOULD CONSIDER BEFORE INVESTING IN OUR SECURITIES.</w:t>
      </w:r>
    </w:p>
    <w:p>
      <w:pPr>
        <w:spacing w:after="0" w:line="159" w:lineRule="exact"/>
        <w:rPr>
          <w:sz w:val="20"/>
          <w:szCs w:val="20"/>
          <w:color w:val="auto"/>
        </w:rPr>
      </w:pPr>
    </w:p>
    <w:p>
      <w:pPr>
        <w:ind w:left="420" w:right="120"/>
        <w:spacing w:after="0" w:line="276" w:lineRule="auto"/>
        <w:rPr>
          <w:sz w:val="20"/>
          <w:szCs w:val="20"/>
          <w:color w:val="auto"/>
        </w:rPr>
      </w:pPr>
      <w:r>
        <w:rPr>
          <w:rFonts w:ascii="Times New Roman" w:cs="Times New Roman" w:eastAsia="Times New Roman" w:hAnsi="Times New Roman"/>
          <w:sz w:val="20"/>
          <w:szCs w:val="20"/>
          <w:color w:val="auto"/>
        </w:rPr>
        <w:t>Our common stock is listed on the Nasdaq Capital Market under the symbol “TTOO.” On July 17, 2024, the last reported sale price of our common stock on the Nasdaq Capital Market was $5.58 per share.</w:t>
      </w:r>
    </w:p>
    <w:p>
      <w:pPr>
        <w:spacing w:after="0" w:line="129" w:lineRule="exact"/>
        <w:rPr>
          <w:sz w:val="20"/>
          <w:szCs w:val="20"/>
          <w:color w:val="auto"/>
        </w:rPr>
      </w:pPr>
    </w:p>
    <w:p>
      <w:pPr>
        <w:ind w:left="420" w:right="160"/>
        <w:spacing w:after="0" w:line="259" w:lineRule="auto"/>
        <w:rPr>
          <w:sz w:val="20"/>
          <w:szCs w:val="20"/>
          <w:color w:val="auto"/>
        </w:rPr>
      </w:pPr>
      <w:r>
        <w:rPr>
          <w:rFonts w:ascii="Times New Roman" w:cs="Times New Roman" w:eastAsia="Times New Roman" w:hAnsi="Times New Roman"/>
          <w:sz w:val="20"/>
          <w:szCs w:val="20"/>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47" w:lineRule="exact"/>
        <w:rPr>
          <w:sz w:val="20"/>
          <w:szCs w:val="20"/>
          <w:color w:val="auto"/>
        </w:rPr>
      </w:pPr>
    </w:p>
    <w:p>
      <w:pPr>
        <w:ind w:left="3640"/>
        <w:spacing w:after="0"/>
        <w:tabs>
          <w:tab w:leader="none" w:pos="7020" w:val="left"/>
        </w:tabs>
        <w:rPr>
          <w:sz w:val="20"/>
          <w:szCs w:val="20"/>
          <w:color w:val="auto"/>
        </w:rPr>
      </w:pPr>
      <w:r>
        <w:rPr>
          <w:rFonts w:ascii="Times New Roman" w:cs="Times New Roman" w:eastAsia="Times New Roman" w:hAnsi="Times New Roman"/>
          <w:sz w:val="20"/>
          <w:szCs w:val="20"/>
          <w:b w:val="1"/>
          <w:bCs w:val="1"/>
          <w:color w:val="auto"/>
        </w:rPr>
        <w:t xml:space="preserve">The date of this prospectus is          </w:t>
        <w:tab/>
        <w:t>, 2024.</w:t>
      </w:r>
    </w:p>
    <w:p>
      <w:pPr>
        <w:sectPr>
          <w:pgSz w:w="11900" w:h="16838" w:orient="portrait"/>
          <w:cols w:equalWidth="0" w:num="1">
            <w:col w:w="10800"/>
          </w:cols>
          <w:pgMar w:left="320" w:top="437" w:right="7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5"/>
        </w:trPr>
        <w:tc>
          <w:tcPr>
            <w:tcW w:w="9180" w:type="dxa"/>
            <w:vAlign w:val="bottom"/>
            <w:gridSpan w:val="16"/>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1"/>
        </w:trPr>
        <w:tc>
          <w:tcPr>
            <w:tcW w:w="42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320" w:type="dxa"/>
            <w:vAlign w:val="bottom"/>
            <w:gridSpan w:val="2"/>
          </w:tcPr>
          <w:p>
            <w:pPr>
              <w:ind w:left="68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540" w:type="dxa"/>
            <w:vAlign w:val="bottom"/>
            <w:tcBorders>
              <w:bottom w:val="single" w:sz="8" w:color="0000EE"/>
            </w:tcBorders>
            <w:gridSpan w:val="10"/>
          </w:tcPr>
          <w:p>
            <w:pPr>
              <w:spacing w:after="0" w:line="216" w:lineRule="exact"/>
              <w:rPr>
                <w:sz w:val="20"/>
                <w:szCs w:val="20"/>
                <w:color w:val="auto"/>
              </w:rPr>
            </w:pPr>
            <w:r>
              <w:rPr>
                <w:rFonts w:ascii="Times New Roman" w:cs="Times New Roman" w:eastAsia="Times New Roman" w:hAnsi="Times New Roman"/>
                <w:sz w:val="20"/>
                <w:szCs w:val="20"/>
                <w:color w:val="0000EE"/>
              </w:rPr>
              <w:t>ABOUT THIS PROSPECTUS</w:t>
            </w:r>
          </w:p>
        </w:tc>
        <w:tc>
          <w:tcPr>
            <w:tcW w:w="6220" w:type="dxa"/>
            <w:vAlign w:val="bottom"/>
            <w:gridSpan w:val="5"/>
          </w:tcPr>
          <w:p>
            <w:pPr>
              <w:spacing w:after="0"/>
              <w:rPr>
                <w:sz w:val="18"/>
                <w:szCs w:val="18"/>
                <w:color w:val="auto"/>
              </w:rPr>
            </w:pPr>
          </w:p>
        </w:tc>
        <w:tc>
          <w:tcPr>
            <w:tcW w:w="15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7580" w:type="dxa"/>
            <w:vAlign w:val="bottom"/>
            <w:tcBorders>
              <w:bottom w:val="single" w:sz="8" w:color="0000EE"/>
            </w:tcBorders>
            <w:gridSpan w:val="14"/>
          </w:tcPr>
          <w:p>
            <w:pPr>
              <w:spacing w:after="0" w:line="209" w:lineRule="exact"/>
              <w:rPr>
                <w:sz w:val="20"/>
                <w:szCs w:val="20"/>
                <w:color w:val="auto"/>
              </w:rPr>
            </w:pPr>
            <w:r>
              <w:rPr>
                <w:rFonts w:ascii="Times New Roman" w:cs="Times New Roman" w:eastAsia="Times New Roman" w:hAnsi="Times New Roman"/>
                <w:sz w:val="20"/>
                <w:szCs w:val="20"/>
                <w:color w:val="0000EE"/>
              </w:rPr>
              <w:t>WHERE YOU CAN FIND MORE INFORMATION; INCORPORATION BYREFERENCE</w:t>
            </w:r>
          </w:p>
        </w:tc>
        <w:tc>
          <w:tcPr>
            <w:tcW w:w="1180" w:type="dxa"/>
            <w:vAlign w:val="bottom"/>
          </w:tcPr>
          <w:p>
            <w:pPr>
              <w:spacing w:after="0"/>
              <w:rPr>
                <w:sz w:val="18"/>
                <w:szCs w:val="18"/>
                <w:color w:val="auto"/>
              </w:rPr>
            </w:pPr>
          </w:p>
        </w:tc>
        <w:tc>
          <w:tcPr>
            <w:tcW w:w="15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1460" w:type="dxa"/>
            <w:vAlign w:val="bottom"/>
            <w:tcBorders>
              <w:bottom w:val="single" w:sz="8" w:color="0000EE"/>
            </w:tcBorders>
            <w:gridSpan w:val="4"/>
          </w:tcPr>
          <w:p>
            <w:pPr>
              <w:spacing w:after="0" w:line="209" w:lineRule="exact"/>
              <w:rPr>
                <w:sz w:val="20"/>
                <w:szCs w:val="20"/>
                <w:color w:val="auto"/>
              </w:rPr>
            </w:pPr>
            <w:r>
              <w:rPr>
                <w:rFonts w:ascii="Times New Roman" w:cs="Times New Roman" w:eastAsia="Times New Roman" w:hAnsi="Times New Roman"/>
                <w:sz w:val="20"/>
                <w:szCs w:val="20"/>
                <w:color w:val="0000EE"/>
              </w:rPr>
              <w:t>THE COMPANY</w:t>
            </w:r>
          </w:p>
        </w:tc>
        <w:tc>
          <w:tcPr>
            <w:tcW w:w="7300" w:type="dxa"/>
            <w:vAlign w:val="bottom"/>
            <w:gridSpan w:val="11"/>
          </w:tcPr>
          <w:p>
            <w:pPr>
              <w:spacing w:after="0"/>
              <w:rPr>
                <w:sz w:val="18"/>
                <w:szCs w:val="18"/>
                <w:color w:val="auto"/>
              </w:rPr>
            </w:pPr>
          </w:p>
        </w:tc>
        <w:tc>
          <w:tcPr>
            <w:tcW w:w="15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8760" w:type="dxa"/>
            <w:vAlign w:val="bottom"/>
            <w:gridSpan w:val="15"/>
          </w:tcPr>
          <w:p>
            <w:pPr>
              <w:spacing w:after="0" w:line="209" w:lineRule="exact"/>
              <w:rPr>
                <w:sz w:val="20"/>
                <w:szCs w:val="20"/>
                <w:color w:val="auto"/>
              </w:rPr>
            </w:pPr>
            <w:r>
              <w:rPr>
                <w:rFonts w:ascii="Times New Roman" w:cs="Times New Roman" w:eastAsia="Times New Roman" w:hAnsi="Times New Roman"/>
                <w:sz w:val="20"/>
                <w:szCs w:val="20"/>
                <w:color w:val="0000EE"/>
              </w:rPr>
              <w:t>RISK FACTORS</w:t>
            </w:r>
          </w:p>
        </w:tc>
        <w:tc>
          <w:tcPr>
            <w:tcW w:w="15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320" w:type="dxa"/>
            <w:vAlign w:val="bottom"/>
            <w:gridSpan w:val="2"/>
          </w:tcPr>
          <w:p>
            <w:pPr>
              <w:spacing w:after="0" w:line="20" w:lineRule="exact"/>
              <w:rPr>
                <w:sz w:val="1"/>
                <w:szCs w:val="1"/>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line="20" w:lineRule="exact"/>
              <w:rPr>
                <w:sz w:val="1"/>
                <w:szCs w:val="1"/>
                <w:color w:val="auto"/>
              </w:rPr>
            </w:pPr>
          </w:p>
        </w:tc>
      </w:tr>
      <w:tr>
        <w:trPr>
          <w:trHeight w:val="209"/>
        </w:trPr>
        <w:tc>
          <w:tcPr>
            <w:tcW w:w="420" w:type="dxa"/>
            <w:vAlign w:val="bottom"/>
          </w:tcPr>
          <w:p>
            <w:pPr>
              <w:spacing w:after="0"/>
              <w:rPr>
                <w:sz w:val="18"/>
                <w:szCs w:val="18"/>
                <w:color w:val="auto"/>
              </w:rPr>
            </w:pPr>
          </w:p>
        </w:tc>
        <w:tc>
          <w:tcPr>
            <w:tcW w:w="1800" w:type="dxa"/>
            <w:vAlign w:val="bottom"/>
            <w:tcBorders>
              <w:bottom w:val="single" w:sz="8" w:color="0000EE"/>
            </w:tcBorders>
            <w:gridSpan w:val="6"/>
          </w:tcPr>
          <w:p>
            <w:pPr>
              <w:spacing w:after="0" w:line="209" w:lineRule="exact"/>
              <w:rPr>
                <w:sz w:val="20"/>
                <w:szCs w:val="20"/>
                <w:color w:val="auto"/>
              </w:rPr>
            </w:pPr>
            <w:r>
              <w:rPr>
                <w:rFonts w:ascii="Times New Roman" w:cs="Times New Roman" w:eastAsia="Times New Roman" w:hAnsi="Times New Roman"/>
                <w:sz w:val="20"/>
                <w:szCs w:val="20"/>
                <w:color w:val="0000EE"/>
              </w:rPr>
              <w:t>USE OF PROCEEDS</w:t>
            </w:r>
          </w:p>
        </w:tc>
        <w:tc>
          <w:tcPr>
            <w:tcW w:w="6960" w:type="dxa"/>
            <w:vAlign w:val="bottom"/>
            <w:gridSpan w:val="9"/>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3260" w:type="dxa"/>
            <w:vAlign w:val="bottom"/>
            <w:tcBorders>
              <w:bottom w:val="single" w:sz="8" w:color="0000EE"/>
            </w:tcBorders>
            <w:gridSpan w:val="12"/>
          </w:tcPr>
          <w:p>
            <w:pPr>
              <w:spacing w:after="0" w:line="209" w:lineRule="exact"/>
              <w:rPr>
                <w:sz w:val="20"/>
                <w:szCs w:val="20"/>
                <w:color w:val="auto"/>
              </w:rPr>
            </w:pPr>
            <w:r>
              <w:rPr>
                <w:rFonts w:ascii="Times New Roman" w:cs="Times New Roman" w:eastAsia="Times New Roman" w:hAnsi="Times New Roman"/>
                <w:sz w:val="20"/>
                <w:szCs w:val="20"/>
                <w:color w:val="0000EE"/>
              </w:rPr>
              <w:t>DESCRIPTION OF CAPITAL STOCK</w:t>
            </w:r>
          </w:p>
        </w:tc>
        <w:tc>
          <w:tcPr>
            <w:tcW w:w="5500" w:type="dxa"/>
            <w:vAlign w:val="bottom"/>
            <w:gridSpan w:val="3"/>
          </w:tcPr>
          <w:p>
            <w:pPr>
              <w:spacing w:after="0"/>
              <w:rPr>
                <w:sz w:val="18"/>
                <w:szCs w:val="18"/>
                <w:color w:val="auto"/>
              </w:rPr>
            </w:pPr>
          </w:p>
        </w:tc>
        <w:tc>
          <w:tcPr>
            <w:tcW w:w="15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3440" w:type="dxa"/>
            <w:vAlign w:val="bottom"/>
            <w:tcBorders>
              <w:bottom w:val="single" w:sz="8" w:color="0000EE"/>
            </w:tcBorders>
            <w:gridSpan w:val="13"/>
          </w:tcPr>
          <w:p>
            <w:pPr>
              <w:spacing w:after="0" w:line="209" w:lineRule="exact"/>
              <w:rPr>
                <w:sz w:val="20"/>
                <w:szCs w:val="20"/>
                <w:color w:val="auto"/>
              </w:rPr>
            </w:pPr>
            <w:r>
              <w:rPr>
                <w:rFonts w:ascii="Times New Roman" w:cs="Times New Roman" w:eastAsia="Times New Roman" w:hAnsi="Times New Roman"/>
                <w:sz w:val="20"/>
                <w:szCs w:val="20"/>
                <w:color w:val="0000EE"/>
              </w:rPr>
              <w:t>DESCRIPTION OF DEBT SECURITIES</w:t>
            </w:r>
          </w:p>
        </w:tc>
        <w:tc>
          <w:tcPr>
            <w:tcW w:w="5320" w:type="dxa"/>
            <w:vAlign w:val="bottom"/>
            <w:gridSpan w:val="2"/>
          </w:tcPr>
          <w:p>
            <w:pPr>
              <w:spacing w:after="0"/>
              <w:rPr>
                <w:sz w:val="18"/>
                <w:szCs w:val="18"/>
                <w:color w:val="auto"/>
              </w:rPr>
            </w:pPr>
          </w:p>
        </w:tc>
        <w:tc>
          <w:tcPr>
            <w:tcW w:w="15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2820" w:type="dxa"/>
            <w:vAlign w:val="bottom"/>
            <w:tcBorders>
              <w:bottom w:val="single" w:sz="8" w:color="0000EE"/>
            </w:tcBorders>
            <w:gridSpan w:val="11"/>
          </w:tcPr>
          <w:p>
            <w:pPr>
              <w:spacing w:after="0" w:line="209" w:lineRule="exact"/>
              <w:rPr>
                <w:sz w:val="20"/>
                <w:szCs w:val="20"/>
                <w:color w:val="auto"/>
              </w:rPr>
            </w:pPr>
            <w:r>
              <w:rPr>
                <w:rFonts w:ascii="Times New Roman" w:cs="Times New Roman" w:eastAsia="Times New Roman" w:hAnsi="Times New Roman"/>
                <w:sz w:val="20"/>
                <w:szCs w:val="20"/>
                <w:color w:val="0000EE"/>
              </w:rPr>
              <w:t>DESCRIPTION OF WARRANTS</w:t>
            </w:r>
          </w:p>
        </w:tc>
        <w:tc>
          <w:tcPr>
            <w:tcW w:w="5940" w:type="dxa"/>
            <w:vAlign w:val="bottom"/>
            <w:gridSpan w:val="4"/>
          </w:tcPr>
          <w:p>
            <w:pPr>
              <w:spacing w:after="0"/>
              <w:rPr>
                <w:sz w:val="18"/>
                <w:szCs w:val="18"/>
                <w:color w:val="auto"/>
              </w:rPr>
            </w:pPr>
          </w:p>
        </w:tc>
        <w:tc>
          <w:tcPr>
            <w:tcW w:w="15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21</w:t>
            </w: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2300" w:type="dxa"/>
            <w:vAlign w:val="bottom"/>
            <w:tcBorders>
              <w:bottom w:val="single" w:sz="8" w:color="0000EE"/>
            </w:tcBorders>
            <w:gridSpan w:val="8"/>
          </w:tcPr>
          <w:p>
            <w:pPr>
              <w:spacing w:after="0" w:line="209" w:lineRule="exact"/>
              <w:rPr>
                <w:sz w:val="20"/>
                <w:szCs w:val="20"/>
                <w:color w:val="auto"/>
              </w:rPr>
            </w:pPr>
            <w:r>
              <w:rPr>
                <w:rFonts w:ascii="Times New Roman" w:cs="Times New Roman" w:eastAsia="Times New Roman" w:hAnsi="Times New Roman"/>
                <w:sz w:val="20"/>
                <w:szCs w:val="20"/>
                <w:color w:val="0000EE"/>
              </w:rPr>
              <w:t>DESCRIPTION OF UNITS</w:t>
            </w:r>
          </w:p>
        </w:tc>
        <w:tc>
          <w:tcPr>
            <w:tcW w:w="6460" w:type="dxa"/>
            <w:vAlign w:val="bottom"/>
            <w:gridSpan w:val="7"/>
          </w:tcPr>
          <w:p>
            <w:pPr>
              <w:spacing w:after="0"/>
              <w:rPr>
                <w:sz w:val="18"/>
                <w:szCs w:val="18"/>
                <w:color w:val="auto"/>
              </w:rPr>
            </w:pPr>
          </w:p>
        </w:tc>
        <w:tc>
          <w:tcPr>
            <w:tcW w:w="15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23</w:t>
            </w: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8760" w:type="dxa"/>
            <w:vAlign w:val="bottom"/>
            <w:gridSpan w:val="15"/>
          </w:tcPr>
          <w:p>
            <w:pPr>
              <w:spacing w:after="0" w:line="209" w:lineRule="exact"/>
              <w:rPr>
                <w:sz w:val="20"/>
                <w:szCs w:val="20"/>
                <w:color w:val="auto"/>
              </w:rPr>
            </w:pPr>
            <w:r>
              <w:rPr>
                <w:rFonts w:ascii="Times New Roman" w:cs="Times New Roman" w:eastAsia="Times New Roman" w:hAnsi="Times New Roman"/>
                <w:sz w:val="20"/>
                <w:szCs w:val="20"/>
                <w:color w:val="0000EE"/>
              </w:rPr>
              <w:t>GLOBAL SECURITIES</w:t>
            </w:r>
          </w:p>
        </w:tc>
        <w:tc>
          <w:tcPr>
            <w:tcW w:w="15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24</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40" w:type="dxa"/>
            <w:vAlign w:val="bottom"/>
            <w:gridSpan w:val="6"/>
          </w:tcPr>
          <w:p>
            <w:pPr>
              <w:spacing w:after="0" w:line="20" w:lineRule="exact"/>
              <w:rPr>
                <w:sz w:val="1"/>
                <w:szCs w:val="1"/>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0" w:type="dxa"/>
            <w:vAlign w:val="bottom"/>
          </w:tcPr>
          <w:p>
            <w:pPr>
              <w:spacing w:after="0" w:line="20" w:lineRule="exact"/>
              <w:rPr>
                <w:sz w:val="1"/>
                <w:szCs w:val="1"/>
                <w:color w:val="auto"/>
              </w:rPr>
            </w:pPr>
          </w:p>
        </w:tc>
      </w:tr>
      <w:tr>
        <w:trPr>
          <w:trHeight w:val="209"/>
        </w:trPr>
        <w:tc>
          <w:tcPr>
            <w:tcW w:w="420" w:type="dxa"/>
            <w:vAlign w:val="bottom"/>
          </w:tcPr>
          <w:p>
            <w:pPr>
              <w:spacing w:after="0"/>
              <w:rPr>
                <w:sz w:val="18"/>
                <w:szCs w:val="18"/>
                <w:color w:val="auto"/>
              </w:rPr>
            </w:pPr>
          </w:p>
        </w:tc>
        <w:tc>
          <w:tcPr>
            <w:tcW w:w="8760" w:type="dxa"/>
            <w:vAlign w:val="bottom"/>
            <w:gridSpan w:val="15"/>
          </w:tcPr>
          <w:p>
            <w:pPr>
              <w:spacing w:after="0" w:line="209" w:lineRule="exact"/>
              <w:rPr>
                <w:sz w:val="20"/>
                <w:szCs w:val="20"/>
                <w:color w:val="auto"/>
              </w:rPr>
            </w:pPr>
            <w:r>
              <w:rPr>
                <w:rFonts w:ascii="Times New Roman" w:cs="Times New Roman" w:eastAsia="Times New Roman" w:hAnsi="Times New Roman"/>
                <w:sz w:val="20"/>
                <w:szCs w:val="20"/>
                <w:color w:val="0000EE"/>
              </w:rPr>
              <w:t>PLAN OF DISTRIBUTION</w:t>
            </w: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1660" w:type="dxa"/>
            <w:vAlign w:val="bottom"/>
            <w:tcBorders>
              <w:top w:val="single" w:sz="8" w:color="0000EE"/>
              <w:bottom w:val="single" w:sz="8" w:color="0000EE"/>
            </w:tcBorders>
            <w:gridSpan w:val="5"/>
          </w:tcPr>
          <w:p>
            <w:pPr>
              <w:spacing w:after="0" w:line="209" w:lineRule="exact"/>
              <w:rPr>
                <w:sz w:val="20"/>
                <w:szCs w:val="20"/>
                <w:color w:val="auto"/>
              </w:rPr>
            </w:pPr>
            <w:r>
              <w:rPr>
                <w:rFonts w:ascii="Times New Roman" w:cs="Times New Roman" w:eastAsia="Times New Roman" w:hAnsi="Times New Roman"/>
                <w:sz w:val="20"/>
                <w:szCs w:val="20"/>
                <w:color w:val="0000EE"/>
              </w:rPr>
              <w:t>LEGAL MATTERS</w:t>
            </w:r>
          </w:p>
        </w:tc>
        <w:tc>
          <w:tcPr>
            <w:tcW w:w="660" w:type="dxa"/>
            <w:vAlign w:val="bottom"/>
            <w:tcBorders>
              <w:top w:val="single" w:sz="8" w:color="0000EE"/>
            </w:tcBorders>
            <w:gridSpan w:val="4"/>
          </w:tcPr>
          <w:p>
            <w:pPr>
              <w:spacing w:after="0"/>
              <w:rPr>
                <w:sz w:val="18"/>
                <w:szCs w:val="18"/>
                <w:color w:val="auto"/>
              </w:rPr>
            </w:pPr>
          </w:p>
        </w:tc>
        <w:tc>
          <w:tcPr>
            <w:tcW w:w="6440" w:type="dxa"/>
            <w:vAlign w:val="bottom"/>
            <w:gridSpan w:val="6"/>
          </w:tcPr>
          <w:p>
            <w:pPr>
              <w:spacing w:after="0"/>
              <w:rPr>
                <w:sz w:val="18"/>
                <w:szCs w:val="18"/>
                <w:color w:val="auto"/>
              </w:rPr>
            </w:pPr>
          </w:p>
        </w:tc>
        <w:tc>
          <w:tcPr>
            <w:tcW w:w="15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31</w:t>
            </w: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880" w:type="dxa"/>
            <w:vAlign w:val="bottom"/>
            <w:tcBorders>
              <w:bottom w:val="single" w:sz="8" w:color="0000EE"/>
            </w:tcBorders>
            <w:gridSpan w:val="2"/>
          </w:tcPr>
          <w:p>
            <w:pPr>
              <w:spacing w:after="0" w:line="209" w:lineRule="exact"/>
              <w:rPr>
                <w:sz w:val="20"/>
                <w:szCs w:val="20"/>
                <w:color w:val="auto"/>
              </w:rPr>
            </w:pPr>
            <w:r>
              <w:rPr>
                <w:rFonts w:ascii="Times New Roman" w:cs="Times New Roman" w:eastAsia="Times New Roman" w:hAnsi="Times New Roman"/>
                <w:sz w:val="20"/>
                <w:szCs w:val="20"/>
                <w:color w:val="0000EE"/>
                <w:w w:val="99"/>
              </w:rPr>
              <w:t>EXPERTS</w:t>
            </w:r>
          </w:p>
        </w:tc>
        <w:tc>
          <w:tcPr>
            <w:tcW w:w="7880" w:type="dxa"/>
            <w:vAlign w:val="bottom"/>
            <w:gridSpan w:val="13"/>
          </w:tcPr>
          <w:p>
            <w:pPr>
              <w:spacing w:after="0"/>
              <w:rPr>
                <w:sz w:val="18"/>
                <w:szCs w:val="18"/>
                <w:color w:val="auto"/>
              </w:rPr>
            </w:pPr>
          </w:p>
        </w:tc>
        <w:tc>
          <w:tcPr>
            <w:tcW w:w="15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31</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760"/>
          </w:cols>
          <w:pgMar w:left="320" w:top="428" w:right="819" w:bottom="1440" w:gutter="0" w:footer="0" w:header="0"/>
        </w:sect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0"/>
          <w:szCs w:val="20"/>
          <w:b w:val="1"/>
          <w:bCs w:val="1"/>
          <w:color w:val="auto"/>
        </w:rPr>
        <w:t>ABOUT THIS PROSPECTUS</w:t>
      </w:r>
    </w:p>
    <w:p>
      <w:pPr>
        <w:spacing w:after="0" w:line="207" w:lineRule="exact"/>
        <w:rPr>
          <w:sz w:val="20"/>
          <w:szCs w:val="20"/>
          <w:color w:val="auto"/>
        </w:rPr>
      </w:pPr>
    </w:p>
    <w:p>
      <w:pPr>
        <w:ind w:left="420"/>
        <w:spacing w:after="0" w:line="242" w:lineRule="auto"/>
        <w:rPr>
          <w:sz w:val="20"/>
          <w:szCs w:val="20"/>
          <w:color w:val="auto"/>
        </w:rPr>
      </w:pPr>
      <w:r>
        <w:rPr>
          <w:rFonts w:ascii="Times New Roman" w:cs="Times New Roman" w:eastAsia="Times New Roman" w:hAnsi="Times New Roman"/>
          <w:sz w:val="20"/>
          <w:szCs w:val="20"/>
          <w:color w:val="auto"/>
        </w:rPr>
        <w:t>This prospectus is part of a registration statement that we filed with the U.S. Securities and Exchange Commission, or the SEC, using a “shelf” registration process. By using a shelf registration statement, we may sell securities from time to time and in one or more offerings up to a total dollar amount of $150,000,000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w:t>
      </w:r>
    </w:p>
    <w:p>
      <w:pPr>
        <w:spacing w:after="0" w:line="172" w:lineRule="exact"/>
        <w:rPr>
          <w:sz w:val="20"/>
          <w:szCs w:val="20"/>
          <w:color w:val="auto"/>
        </w:rPr>
      </w:pPr>
    </w:p>
    <w:p>
      <w:pPr>
        <w:ind w:left="420" w:right="60"/>
        <w:spacing w:after="0" w:line="241" w:lineRule="auto"/>
        <w:rPr>
          <w:sz w:val="20"/>
          <w:szCs w:val="20"/>
          <w:color w:val="auto"/>
        </w:rPr>
      </w:pPr>
      <w:r>
        <w:rPr>
          <w:rFonts w:ascii="Times New Roman" w:cs="Times New Roman" w:eastAsia="Times New Roman" w:hAnsi="Times New Roman"/>
          <w:sz w:val="20"/>
          <w:szCs w:val="20"/>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33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0820"/>
          </w:cols>
          <w:pgMar w:left="320" w:top="437" w:right="7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6" w:lineRule="exact"/>
        <w:rPr>
          <w:sz w:val="20"/>
          <w:szCs w:val="20"/>
          <w:color w:val="auto"/>
        </w:rPr>
      </w:pPr>
    </w:p>
    <w:p>
      <w:pPr>
        <w:jc w:val="both"/>
        <w:ind w:left="420"/>
        <w:spacing w:after="0" w:line="257" w:lineRule="auto"/>
        <w:rPr>
          <w:sz w:val="20"/>
          <w:szCs w:val="20"/>
          <w:color w:val="auto"/>
        </w:rPr>
      </w:pPr>
      <w:r>
        <w:rPr>
          <w:rFonts w:ascii="Times New Roman" w:cs="Times New Roman" w:eastAsia="Times New Roman" w:hAnsi="Times New Roman"/>
          <w:sz w:val="20"/>
          <w:szCs w:val="20"/>
          <w:color w:val="auto"/>
        </w:rPr>
        <w:t>When we refer to “T2 Biosystems,” “we,” “our,” “us” and the “Company” in this prospectus, we mean T2 Biosystems, Inc. and its consolidated subsidiaries, unless otherwise specified. When we refer to “you,” we mean the potential holders of the applicable series of securities.</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480"/>
          </w:cols>
          <w:pgMar w:left="320" w:top="437" w:right="10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2" w:lineRule="exact"/>
        <w:rPr>
          <w:sz w:val="20"/>
          <w:szCs w:val="20"/>
          <w:color w:val="auto"/>
        </w:rPr>
      </w:pPr>
    </w:p>
    <w:p>
      <w:pPr>
        <w:ind w:left="420" w:right="1120" w:firstLine="1153"/>
        <w:spacing w:after="0" w:line="400" w:lineRule="auto"/>
        <w:rPr>
          <w:sz w:val="20"/>
          <w:szCs w:val="20"/>
          <w:color w:val="auto"/>
        </w:rPr>
      </w:pPr>
      <w:r>
        <w:rPr>
          <w:rFonts w:ascii="Times New Roman" w:cs="Times New Roman" w:eastAsia="Times New Roman" w:hAnsi="Times New Roman"/>
          <w:sz w:val="20"/>
          <w:szCs w:val="20"/>
          <w:b w:val="1"/>
          <w:bCs w:val="1"/>
          <w:color w:val="auto"/>
        </w:rPr>
        <w:t>WHERE YOU CAN FIND MORE INFORMATION; INCORPORATION BY REFERENCE Available Information</w:t>
      </w:r>
    </w:p>
    <w:p>
      <w:pPr>
        <w:spacing w:after="0" w:line="1" w:lineRule="exact"/>
        <w:rPr>
          <w:sz w:val="20"/>
          <w:szCs w:val="20"/>
          <w:color w:val="auto"/>
        </w:rPr>
      </w:pPr>
    </w:p>
    <w:p>
      <w:pPr>
        <w:ind w:left="420" w:right="260"/>
        <w:spacing w:after="0" w:line="257" w:lineRule="auto"/>
        <w:rPr>
          <w:sz w:val="20"/>
          <w:szCs w:val="20"/>
          <w:color w:val="auto"/>
        </w:rPr>
      </w:pPr>
      <w:r>
        <w:rPr>
          <w:rFonts w:ascii="Times New Roman" w:cs="Times New Roman" w:eastAsia="Times New Roman" w:hAnsi="Times New Roman"/>
          <w:sz w:val="20"/>
          <w:szCs w:val="20"/>
          <w:color w:val="auto"/>
        </w:rPr>
        <w:t xml:space="preserve">We file reports, proxy statements and other information with the SEC. The SEC maintains a web site that contains reports, proxy and information statements and other information about issuers, such as us, who file electronically with the SEC. The address of that website is </w:t>
      </w:r>
      <w:r>
        <w:rPr>
          <w:rFonts w:ascii="Times New Roman" w:cs="Times New Roman" w:eastAsia="Times New Roman" w:hAnsi="Times New Roman"/>
          <w:sz w:val="20"/>
          <w:szCs w:val="20"/>
          <w:i w:val="1"/>
          <w:iCs w:val="1"/>
          <w:color w:val="auto"/>
        </w:rPr>
        <w:t>www.sec.gov</w:t>
      </w:r>
      <w:r>
        <w:rPr>
          <w:rFonts w:ascii="Times New Roman" w:cs="Times New Roman" w:eastAsia="Times New Roman" w:hAnsi="Times New Roman"/>
          <w:sz w:val="20"/>
          <w:szCs w:val="20"/>
          <w:color w:val="auto"/>
        </w:rPr>
        <w:t>.</w:t>
      </w:r>
    </w:p>
    <w:p>
      <w:pPr>
        <w:spacing w:after="0" w:line="149" w:lineRule="exact"/>
        <w:rPr>
          <w:sz w:val="20"/>
          <w:szCs w:val="20"/>
          <w:color w:val="auto"/>
        </w:rPr>
      </w:pPr>
    </w:p>
    <w:p>
      <w:pPr>
        <w:ind w:left="420" w:right="120"/>
        <w:spacing w:after="0" w:line="280" w:lineRule="auto"/>
        <w:rPr>
          <w:sz w:val="20"/>
          <w:szCs w:val="20"/>
          <w:color w:val="auto"/>
        </w:rPr>
      </w:pPr>
      <w:r>
        <w:rPr>
          <w:rFonts w:ascii="Times New Roman" w:cs="Times New Roman" w:eastAsia="Times New Roman" w:hAnsi="Times New Roman"/>
          <w:sz w:val="20"/>
          <w:szCs w:val="20"/>
          <w:color w:val="auto"/>
        </w:rPr>
        <w:t xml:space="preserve">Our website address is </w:t>
      </w:r>
      <w:r>
        <w:rPr>
          <w:rFonts w:ascii="Times New Roman" w:cs="Times New Roman" w:eastAsia="Times New Roman" w:hAnsi="Times New Roman"/>
          <w:sz w:val="20"/>
          <w:szCs w:val="20"/>
          <w:i w:val="1"/>
          <w:iCs w:val="1"/>
          <w:color w:val="auto"/>
        </w:rPr>
        <w:t>www.t2biosystems.com</w:t>
      </w:r>
      <w:r>
        <w:rPr>
          <w:rFonts w:ascii="Times New Roman" w:cs="Times New Roman" w:eastAsia="Times New Roman" w:hAnsi="Times New Roman"/>
          <w:sz w:val="20"/>
          <w:szCs w:val="20"/>
          <w:color w:val="auto"/>
        </w:rPr>
        <w:t>. The information on our website, however, is not, and should not be deemed to be, a part of this prospectus.</w:t>
      </w:r>
    </w:p>
    <w:p>
      <w:pPr>
        <w:spacing w:after="0" w:line="130" w:lineRule="exact"/>
        <w:rPr>
          <w:sz w:val="20"/>
          <w:szCs w:val="20"/>
          <w:color w:val="auto"/>
        </w:rPr>
      </w:pPr>
    </w:p>
    <w:p>
      <w:pPr>
        <w:ind w:left="420"/>
        <w:spacing w:after="0" w:line="244" w:lineRule="auto"/>
        <w:rPr>
          <w:sz w:val="20"/>
          <w:szCs w:val="20"/>
          <w:color w:val="auto"/>
        </w:rPr>
      </w:pPr>
      <w:r>
        <w:rPr>
          <w:rFonts w:ascii="Times New Roman" w:cs="Times New Roman" w:eastAsia="Times New Roman" w:hAnsi="Times New Roman"/>
          <w:sz w:val="20"/>
          <w:szCs w:val="20"/>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200" w:lineRule="exact"/>
        <w:rPr>
          <w:sz w:val="20"/>
          <w:szCs w:val="20"/>
          <w:color w:val="auto"/>
        </w:rPr>
      </w:pPr>
    </w:p>
    <w:p>
      <w:pPr>
        <w:spacing w:after="0" w:line="2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auto"/>
        </w:rPr>
        <w:t>Incorporation by Reference</w:t>
      </w:r>
    </w:p>
    <w:p>
      <w:pPr>
        <w:spacing w:after="0" w:line="105" w:lineRule="exact"/>
        <w:rPr>
          <w:sz w:val="20"/>
          <w:szCs w:val="20"/>
          <w:color w:val="auto"/>
        </w:rPr>
      </w:pPr>
    </w:p>
    <w:p>
      <w:pPr>
        <w:ind w:left="420" w:right="80"/>
        <w:spacing w:after="0" w:line="245" w:lineRule="auto"/>
        <w:rPr>
          <w:sz w:val="20"/>
          <w:szCs w:val="20"/>
          <w:color w:val="auto"/>
        </w:rPr>
      </w:pPr>
      <w:r>
        <w:rPr>
          <w:rFonts w:ascii="Times New Roman" w:cs="Times New Roman" w:eastAsia="Times New Roman" w:hAnsi="Times New Roman"/>
          <w:sz w:val="20"/>
          <w:szCs w:val="20"/>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400" w:lineRule="exact"/>
        <w:rPr>
          <w:sz w:val="20"/>
          <w:szCs w:val="20"/>
          <w:color w:val="auto"/>
        </w:rPr>
      </w:pPr>
    </w:p>
    <w:p>
      <w:pPr>
        <w:ind w:left="420" w:right="120"/>
        <w:spacing w:after="0" w:line="251" w:lineRule="auto"/>
        <w:rPr>
          <w:sz w:val="20"/>
          <w:szCs w:val="20"/>
          <w:color w:val="auto"/>
        </w:rPr>
      </w:pPr>
      <w:r>
        <w:rPr>
          <w:rFonts w:ascii="Times New Roman" w:cs="Times New Roman" w:eastAsia="Times New Roman" w:hAnsi="Times New Roman"/>
          <w:sz w:val="20"/>
          <w:szCs w:val="20"/>
          <w:color w:val="auto"/>
        </w:rPr>
        <w:t>This prospectus and any accompanying prospectus supplement incorporate by reference the documents set forth below that have previously been filed with the SEC, other than any portions of the respective filing that were furnished, pursuant to Item 2.02 or Item 7.01 of Current Reports on Form 8-K (including exhibits related thereto) or other applicable SEC rules, rather than filed:</w:t>
      </w:r>
    </w:p>
    <w:p>
      <w:pPr>
        <w:spacing w:after="0" w:line="184" w:lineRule="exact"/>
        <w:rPr>
          <w:sz w:val="20"/>
          <w:szCs w:val="20"/>
          <w:color w:val="auto"/>
        </w:rPr>
      </w:pPr>
    </w:p>
    <w:p>
      <w:pPr>
        <w:ind w:left="1240" w:hanging="404"/>
        <w:spacing w:after="0"/>
        <w:tabs>
          <w:tab w:leader="none" w:pos="12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Our Annual Report on </w:t>
      </w:r>
      <w:hyperlink r:id="rId27">
        <w:r>
          <w:rPr>
            <w:rFonts w:ascii="Times New Roman" w:cs="Times New Roman" w:eastAsia="Times New Roman" w:hAnsi="Times New Roman"/>
            <w:sz w:val="20"/>
            <w:szCs w:val="20"/>
            <w:u w:val="single" w:color="auto"/>
            <w:color w:val="0000EE"/>
          </w:rPr>
          <w:t>Form 10-K</w:t>
        </w:r>
        <w:r>
          <w:rPr>
            <w:rFonts w:ascii="Times New Roman" w:cs="Times New Roman" w:eastAsia="Times New Roman" w:hAnsi="Times New Roman"/>
            <w:sz w:val="20"/>
            <w:szCs w:val="20"/>
            <w:u w:val="single" w:color="auto"/>
            <w:color w:val="auto"/>
          </w:rPr>
          <w:t xml:space="preserve"> </w:t>
        </w:r>
      </w:hyperlink>
      <w:r>
        <w:rPr>
          <w:rFonts w:ascii="Times New Roman" w:cs="Times New Roman" w:eastAsia="Times New Roman" w:hAnsi="Times New Roman"/>
          <w:sz w:val="20"/>
          <w:szCs w:val="20"/>
          <w:color w:val="auto"/>
        </w:rPr>
        <w:t>for the year ended December 31, 2023, filed with the SEC on April 1, 2024.</w:t>
      </w:r>
    </w:p>
    <w:p>
      <w:pPr>
        <w:spacing w:after="0" w:line="228" w:lineRule="exact"/>
        <w:rPr>
          <w:rFonts w:ascii="Times New Roman" w:cs="Times New Roman" w:eastAsia="Times New Roman" w:hAnsi="Times New Roman"/>
          <w:sz w:val="20"/>
          <w:szCs w:val="20"/>
          <w:color w:val="auto"/>
        </w:rPr>
      </w:pPr>
    </w:p>
    <w:p>
      <w:pPr>
        <w:jc w:val="center"/>
        <w:ind w:left="5580" w:right="460" w:hanging="4744"/>
        <w:spacing w:after="0" w:line="331" w:lineRule="auto"/>
        <w:tabs>
          <w:tab w:leader="none" w:pos="125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Our Quarterly Report on Form 10-Q for the quarter ended March 31, 2024, filed with the SEC on </w:t>
      </w:r>
      <w:hyperlink r:id="rId28">
        <w:r>
          <w:rPr>
            <w:rFonts w:ascii="Times New Roman" w:cs="Times New Roman" w:eastAsia="Times New Roman" w:hAnsi="Times New Roman"/>
            <w:sz w:val="20"/>
            <w:szCs w:val="20"/>
            <w:u w:val="single" w:color="auto"/>
            <w:color w:val="0000EE"/>
          </w:rPr>
          <w:t>May 6, 2024</w:t>
        </w:r>
      </w:hyperlink>
      <w:r>
        <w:rPr>
          <w:rFonts w:ascii="Times New Roman" w:cs="Times New Roman" w:eastAsia="Times New Roman" w:hAnsi="Times New Roman"/>
          <w:sz w:val="20"/>
          <w:szCs w:val="20"/>
          <w:color w:val="auto"/>
        </w:rPr>
        <w:t>. 3</w:t>
      </w:r>
    </w:p>
    <w:p>
      <w:pPr>
        <w:sectPr>
          <w:pgSz w:w="11900" w:h="16838" w:orient="portrait"/>
          <w:cols w:equalWidth="0" w:num="1">
            <w:col w:w="10780"/>
          </w:cols>
          <w:pgMar w:left="320" w:top="437" w:right="7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6" w:lineRule="exact"/>
        <w:rPr>
          <w:sz w:val="20"/>
          <w:szCs w:val="20"/>
          <w:color w:val="auto"/>
        </w:rPr>
      </w:pPr>
    </w:p>
    <w:p>
      <w:pPr>
        <w:jc w:val="both"/>
        <w:ind w:left="1240" w:right="540" w:hanging="404"/>
        <w:spacing w:after="0" w:line="257" w:lineRule="auto"/>
        <w:tabs>
          <w:tab w:leader="none" w:pos="1240" w:val="left"/>
        </w:tabs>
        <w:numPr>
          <w:ilvl w:val="0"/>
          <w:numId w:val="3"/>
        </w:numPr>
        <w:rPr>
          <w:rFonts w:ascii="Times New Roman" w:cs="Times New Roman" w:eastAsia="Times New Roman" w:hAnsi="Times New Roman"/>
          <w:sz w:val="20"/>
          <w:szCs w:val="20"/>
          <w:color w:val="0000EE"/>
        </w:rPr>
      </w:pPr>
      <w:r>
        <w:rPr>
          <w:rFonts w:ascii="Times New Roman" w:cs="Times New Roman" w:eastAsia="Times New Roman" w:hAnsi="Times New Roman"/>
          <w:sz w:val="20"/>
          <w:szCs w:val="20"/>
          <w:color w:val="auto"/>
        </w:rPr>
        <w:t xml:space="preserve">Our Current Reports on Form 8-K filed with the SEC on </w:t>
      </w:r>
      <w:hyperlink r:id="rId30">
        <w:r>
          <w:rPr>
            <w:rFonts w:ascii="Times New Roman" w:cs="Times New Roman" w:eastAsia="Times New Roman" w:hAnsi="Times New Roman"/>
            <w:sz w:val="20"/>
            <w:szCs w:val="20"/>
            <w:u w:val="single" w:color="auto"/>
            <w:color w:val="0000EE"/>
          </w:rPr>
          <w:t>January 5, 2024</w:t>
        </w:r>
      </w:hyperlink>
      <w:r>
        <w:rPr>
          <w:rFonts w:ascii="Times New Roman" w:cs="Times New Roman" w:eastAsia="Times New Roman" w:hAnsi="Times New Roman"/>
          <w:sz w:val="20"/>
          <w:szCs w:val="20"/>
          <w:color w:val="auto"/>
        </w:rPr>
        <w:t xml:space="preserve">, </w:t>
      </w:r>
      <w:hyperlink r:id="rId31">
        <w:r>
          <w:rPr>
            <w:rFonts w:ascii="Times New Roman" w:cs="Times New Roman" w:eastAsia="Times New Roman" w:hAnsi="Times New Roman"/>
            <w:sz w:val="20"/>
            <w:szCs w:val="20"/>
            <w:u w:val="single" w:color="auto"/>
            <w:color w:val="0000EE"/>
          </w:rPr>
          <w:t>February 15, 2024</w:t>
        </w:r>
      </w:hyperlink>
      <w:r>
        <w:rPr>
          <w:rFonts w:ascii="Times New Roman" w:cs="Times New Roman" w:eastAsia="Times New Roman" w:hAnsi="Times New Roman"/>
          <w:sz w:val="20"/>
          <w:szCs w:val="20"/>
          <w:color w:val="auto"/>
        </w:rPr>
        <w:t xml:space="preserve">, </w:t>
      </w:r>
      <w:hyperlink r:id="rId32">
        <w:r>
          <w:rPr>
            <w:rFonts w:ascii="Times New Roman" w:cs="Times New Roman" w:eastAsia="Times New Roman" w:hAnsi="Times New Roman"/>
            <w:sz w:val="20"/>
            <w:szCs w:val="20"/>
            <w:u w:val="single" w:color="auto"/>
            <w:color w:val="0000EE"/>
          </w:rPr>
          <w:t>March 12, 2024</w:t>
        </w:r>
      </w:hyperlink>
      <w:r>
        <w:rPr>
          <w:rFonts w:ascii="Times New Roman" w:cs="Times New Roman" w:eastAsia="Times New Roman" w:hAnsi="Times New Roman"/>
          <w:sz w:val="20"/>
          <w:szCs w:val="20"/>
          <w:color w:val="auto"/>
        </w:rPr>
        <w:t xml:space="preserve">, </w:t>
      </w:r>
      <w:hyperlink r:id="rId33">
        <w:r>
          <w:rPr>
            <w:rFonts w:ascii="Times New Roman" w:cs="Times New Roman" w:eastAsia="Times New Roman" w:hAnsi="Times New Roman"/>
            <w:sz w:val="20"/>
            <w:szCs w:val="20"/>
            <w:u w:val="single" w:color="auto"/>
            <w:color w:val="0000EE"/>
          </w:rPr>
          <w:t>March 18, 2024</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hyperlink r:id="rId34">
        <w:r>
          <w:rPr>
            <w:rFonts w:ascii="Times New Roman" w:cs="Times New Roman" w:eastAsia="Times New Roman" w:hAnsi="Times New Roman"/>
            <w:sz w:val="20"/>
            <w:szCs w:val="20"/>
            <w:u w:val="single" w:color="auto"/>
            <w:color w:val="0000EE"/>
          </w:rPr>
          <w:t>March 20, 2024</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hyperlink r:id="rId35">
        <w:r>
          <w:rPr>
            <w:rFonts w:ascii="Times New Roman" w:cs="Times New Roman" w:eastAsia="Times New Roman" w:hAnsi="Times New Roman"/>
            <w:sz w:val="20"/>
            <w:szCs w:val="20"/>
            <w:u w:val="single" w:color="auto"/>
            <w:color w:val="0000EE"/>
          </w:rPr>
          <w:t>March 28, 2024</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hyperlink r:id="rId36">
        <w:r>
          <w:rPr>
            <w:rFonts w:ascii="Times New Roman" w:cs="Times New Roman" w:eastAsia="Times New Roman" w:hAnsi="Times New Roman"/>
            <w:sz w:val="20"/>
            <w:szCs w:val="20"/>
            <w:u w:val="single" w:color="auto"/>
            <w:color w:val="0000EE"/>
          </w:rPr>
          <w:t>April 12, 2024</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hyperlink r:id="rId37">
        <w:r>
          <w:rPr>
            <w:rFonts w:ascii="Times New Roman" w:cs="Times New Roman" w:eastAsia="Times New Roman" w:hAnsi="Times New Roman"/>
            <w:sz w:val="20"/>
            <w:szCs w:val="20"/>
            <w:u w:val="single" w:color="auto"/>
            <w:color w:val="0000EE"/>
          </w:rPr>
          <w:t>April 18, 2024</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hyperlink r:id="rId38">
        <w:r>
          <w:rPr>
            <w:rFonts w:ascii="Times New Roman" w:cs="Times New Roman" w:eastAsia="Times New Roman" w:hAnsi="Times New Roman"/>
            <w:sz w:val="20"/>
            <w:szCs w:val="20"/>
            <w:u w:val="single" w:color="auto"/>
            <w:color w:val="0000EE"/>
          </w:rPr>
          <w:t>May 6, 2024</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hyperlink r:id="rId39">
        <w:r>
          <w:rPr>
            <w:rFonts w:ascii="Times New Roman" w:cs="Times New Roman" w:eastAsia="Times New Roman" w:hAnsi="Times New Roman"/>
            <w:sz w:val="20"/>
            <w:szCs w:val="20"/>
            <w:u w:val="single" w:color="auto"/>
            <w:color w:val="0000EE"/>
          </w:rPr>
          <w:t>May 7, 2024</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hyperlink r:id="rId40">
        <w:r>
          <w:rPr>
            <w:rFonts w:ascii="Times New Roman" w:cs="Times New Roman" w:eastAsia="Times New Roman" w:hAnsi="Times New Roman"/>
            <w:sz w:val="20"/>
            <w:szCs w:val="20"/>
            <w:u w:val="single" w:color="auto"/>
            <w:color w:val="0000EE"/>
          </w:rPr>
          <w:t>May 14, 2024</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hyperlink r:id="rId41">
        <w:r>
          <w:rPr>
            <w:rFonts w:ascii="Times New Roman" w:cs="Times New Roman" w:eastAsia="Times New Roman" w:hAnsi="Times New Roman"/>
            <w:sz w:val="20"/>
            <w:szCs w:val="20"/>
            <w:u w:val="single" w:color="auto"/>
            <w:color w:val="0000EE"/>
          </w:rPr>
          <w:t>May 20, 2024</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hyperlink r:id="rId42">
        <w:r>
          <w:rPr>
            <w:rFonts w:ascii="Times New Roman" w:cs="Times New Roman" w:eastAsia="Times New Roman" w:hAnsi="Times New Roman"/>
            <w:sz w:val="20"/>
            <w:szCs w:val="20"/>
            <w:u w:val="single" w:color="auto"/>
            <w:color w:val="0000EE"/>
          </w:rPr>
          <w:t xml:space="preserve">May 22, 2024 </w:t>
        </w:r>
      </w:hyperlink>
      <w:r>
        <w:rPr>
          <w:rFonts w:ascii="Times New Roman" w:cs="Times New Roman" w:eastAsia="Times New Roman" w:hAnsi="Times New Roman"/>
          <w:sz w:val="20"/>
          <w:szCs w:val="20"/>
          <w:color w:val="000000"/>
        </w:rPr>
        <w:t>and</w:t>
      </w:r>
      <w:r>
        <w:rPr>
          <w:rFonts w:ascii="Times New Roman" w:cs="Times New Roman" w:eastAsia="Times New Roman" w:hAnsi="Times New Roman"/>
          <w:sz w:val="20"/>
          <w:szCs w:val="20"/>
          <w:color w:val="0000EE"/>
        </w:rPr>
        <w:t xml:space="preserve"> </w:t>
      </w:r>
      <w:hyperlink r:id="rId43">
        <w:r>
          <w:rPr>
            <w:rFonts w:ascii="Times New Roman" w:cs="Times New Roman" w:eastAsia="Times New Roman" w:hAnsi="Times New Roman"/>
            <w:sz w:val="20"/>
            <w:szCs w:val="20"/>
            <w:u w:val="single" w:color="auto"/>
            <w:color w:val="0000EE"/>
          </w:rPr>
          <w:t>July 19, 2024</w:t>
        </w:r>
      </w:hyperlink>
      <w:r>
        <w:rPr>
          <w:rFonts w:ascii="Times New Roman" w:cs="Times New Roman" w:eastAsia="Times New Roman" w:hAnsi="Times New Roman"/>
          <w:sz w:val="20"/>
          <w:szCs w:val="20"/>
          <w:color w:val="000000"/>
        </w:rPr>
        <w:t>.</w:t>
      </w:r>
    </w:p>
    <w:p>
      <w:pPr>
        <w:spacing w:after="0" w:line="178" w:lineRule="exact"/>
        <w:rPr>
          <w:rFonts w:ascii="Times New Roman" w:cs="Times New Roman" w:eastAsia="Times New Roman" w:hAnsi="Times New Roman"/>
          <w:sz w:val="20"/>
          <w:szCs w:val="20"/>
          <w:color w:val="0000EE"/>
        </w:rPr>
      </w:pPr>
    </w:p>
    <w:p>
      <w:pPr>
        <w:ind w:left="1240" w:right="320" w:hanging="404"/>
        <w:spacing w:after="0" w:line="276" w:lineRule="auto"/>
        <w:tabs>
          <w:tab w:leader="none" w:pos="12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description of our common stock contained in our registration statement on </w:t>
      </w:r>
      <w:hyperlink r:id="rId44">
        <w:r>
          <w:rPr>
            <w:rFonts w:ascii="Times New Roman" w:cs="Times New Roman" w:eastAsia="Times New Roman" w:hAnsi="Times New Roman"/>
            <w:sz w:val="20"/>
            <w:szCs w:val="20"/>
            <w:u w:val="single" w:color="auto"/>
            <w:color w:val="0000EE"/>
          </w:rPr>
          <w:t>Form 8-A</w:t>
        </w:r>
      </w:hyperlink>
      <w:r>
        <w:rPr>
          <w:rFonts w:ascii="Times New Roman" w:cs="Times New Roman" w:eastAsia="Times New Roman" w:hAnsi="Times New Roman"/>
          <w:sz w:val="20"/>
          <w:szCs w:val="20"/>
          <w:color w:val="auto"/>
        </w:rPr>
        <w:t>, filed with the SEC on July 25, 2014 and any amendment or report filed with the SEC for the purpose of updating such description.</w:t>
      </w:r>
    </w:p>
    <w:p>
      <w:pPr>
        <w:spacing w:after="0" w:line="133" w:lineRule="exact"/>
        <w:rPr>
          <w:rFonts w:ascii="Times New Roman" w:cs="Times New Roman" w:eastAsia="Times New Roman" w:hAnsi="Times New Roman"/>
          <w:sz w:val="20"/>
          <w:szCs w:val="20"/>
          <w:color w:val="0000EE"/>
        </w:rPr>
      </w:pPr>
    </w:p>
    <w:p>
      <w:pPr>
        <w:ind w:left="420"/>
        <w:spacing w:after="0" w:line="246" w:lineRule="auto"/>
        <w:rPr>
          <w:sz w:val="20"/>
          <w:szCs w:val="20"/>
          <w:color w:val="auto"/>
        </w:rPr>
      </w:pPr>
      <w:r>
        <w:rPr>
          <w:rFonts w:ascii="Times New Roman" w:cs="Times New Roman" w:eastAsia="Times New Roman" w:hAnsi="Times New Roman"/>
          <w:sz w:val="20"/>
          <w:szCs w:val="20"/>
          <w:color w:val="auto"/>
        </w:rPr>
        <w:t>All reports and other documents we subsequently file pursuant to Section 13(a), 13(c), 14 or 15(d) of the Securities Exchange Act of 1934, which we refer to as the “Exchange Act” in this prospectus,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400" w:lineRule="exact"/>
        <w:rPr>
          <w:rFonts w:ascii="Times New Roman" w:cs="Times New Roman" w:eastAsia="Times New Roman" w:hAnsi="Times New Roman"/>
          <w:sz w:val="20"/>
          <w:szCs w:val="20"/>
          <w:color w:val="0000EE"/>
        </w:rPr>
      </w:pPr>
    </w:p>
    <w:p>
      <w:pPr>
        <w:ind w:left="420" w:right="40"/>
        <w:spacing w:after="0" w:line="276" w:lineRule="auto"/>
        <w:rPr>
          <w:sz w:val="20"/>
          <w:szCs w:val="20"/>
          <w:color w:val="auto"/>
        </w:rPr>
      </w:pPr>
      <w:r>
        <w:rPr>
          <w:rFonts w:ascii="Times New Roman" w:cs="Times New Roman" w:eastAsia="Times New Roman" w:hAnsi="Times New Roman"/>
          <w:sz w:val="20"/>
          <w:szCs w:val="20"/>
          <w:color w:val="auto"/>
        </w:rPr>
        <w:t>You may request a free copy of any of the documents incorporated by reference in this prospectus by writing or telephoning us at the following address:</w:t>
      </w:r>
    </w:p>
    <w:p>
      <w:pPr>
        <w:spacing w:after="0" w:line="133" w:lineRule="exact"/>
        <w:rPr>
          <w:rFonts w:ascii="Times New Roman" w:cs="Times New Roman" w:eastAsia="Times New Roman" w:hAnsi="Times New Roman"/>
          <w:sz w:val="20"/>
          <w:szCs w:val="20"/>
          <w:color w:val="0000EE"/>
        </w:rPr>
      </w:pPr>
    </w:p>
    <w:p>
      <w:pPr>
        <w:jc w:val="center"/>
        <w:ind w:right="-459"/>
        <w:spacing w:after="0"/>
        <w:rPr>
          <w:sz w:val="20"/>
          <w:szCs w:val="20"/>
          <w:color w:val="auto"/>
        </w:rPr>
      </w:pPr>
      <w:r>
        <w:rPr>
          <w:rFonts w:ascii="Times New Roman" w:cs="Times New Roman" w:eastAsia="Times New Roman" w:hAnsi="Times New Roman"/>
          <w:sz w:val="20"/>
          <w:szCs w:val="20"/>
          <w:color w:val="auto"/>
        </w:rPr>
        <w:t>T2 Biosystems, Inc.</w:t>
      </w:r>
    </w:p>
    <w:p>
      <w:pPr>
        <w:spacing w:after="0" w:line="20" w:lineRule="exact"/>
        <w:rPr>
          <w:rFonts w:ascii="Times New Roman" w:cs="Times New Roman" w:eastAsia="Times New Roman" w:hAnsi="Times New Roman"/>
          <w:sz w:val="20"/>
          <w:szCs w:val="20"/>
          <w:color w:val="0000EE"/>
        </w:rPr>
      </w:pPr>
    </w:p>
    <w:p>
      <w:pPr>
        <w:jc w:val="center"/>
        <w:ind w:right="-459"/>
        <w:spacing w:after="0"/>
        <w:rPr>
          <w:sz w:val="20"/>
          <w:szCs w:val="20"/>
          <w:color w:val="auto"/>
        </w:rPr>
      </w:pPr>
      <w:r>
        <w:rPr>
          <w:rFonts w:ascii="Times New Roman" w:cs="Times New Roman" w:eastAsia="Times New Roman" w:hAnsi="Times New Roman"/>
          <w:sz w:val="20"/>
          <w:szCs w:val="20"/>
          <w:color w:val="auto"/>
        </w:rPr>
        <w:t>101 Hartwell Avenue</w:t>
      </w:r>
    </w:p>
    <w:p>
      <w:pPr>
        <w:jc w:val="center"/>
        <w:ind w:right="-439"/>
        <w:spacing w:after="0"/>
        <w:rPr>
          <w:sz w:val="20"/>
          <w:szCs w:val="20"/>
          <w:color w:val="auto"/>
        </w:rPr>
      </w:pPr>
      <w:r>
        <w:rPr>
          <w:rFonts w:ascii="Times New Roman" w:cs="Times New Roman" w:eastAsia="Times New Roman" w:hAnsi="Times New Roman"/>
          <w:sz w:val="20"/>
          <w:szCs w:val="20"/>
          <w:color w:val="auto"/>
        </w:rPr>
        <w:t>Lexington, MA 02421</w:t>
      </w:r>
    </w:p>
    <w:p>
      <w:pPr>
        <w:jc w:val="center"/>
        <w:ind w:right="-459"/>
        <w:spacing w:after="0"/>
        <w:rPr>
          <w:sz w:val="20"/>
          <w:szCs w:val="20"/>
          <w:color w:val="auto"/>
        </w:rPr>
      </w:pPr>
      <w:r>
        <w:rPr>
          <w:rFonts w:ascii="Times New Roman" w:cs="Times New Roman" w:eastAsia="Times New Roman" w:hAnsi="Times New Roman"/>
          <w:sz w:val="20"/>
          <w:szCs w:val="20"/>
          <w:color w:val="auto"/>
        </w:rPr>
        <w:t>Attention: General Counsel</w:t>
      </w:r>
    </w:p>
    <w:p>
      <w:pPr>
        <w:jc w:val="center"/>
        <w:ind w:right="-459"/>
        <w:spacing w:after="0"/>
        <w:rPr>
          <w:sz w:val="20"/>
          <w:szCs w:val="20"/>
          <w:color w:val="auto"/>
        </w:rPr>
      </w:pPr>
      <w:r>
        <w:rPr>
          <w:rFonts w:ascii="Times New Roman" w:cs="Times New Roman" w:eastAsia="Times New Roman" w:hAnsi="Times New Roman"/>
          <w:sz w:val="20"/>
          <w:szCs w:val="20"/>
          <w:color w:val="auto"/>
        </w:rPr>
        <w:t>(781) 761-4646</w:t>
      </w:r>
    </w:p>
    <w:p>
      <w:pPr>
        <w:spacing w:after="0" w:line="181" w:lineRule="exact"/>
        <w:rPr>
          <w:rFonts w:ascii="Times New Roman" w:cs="Times New Roman" w:eastAsia="Times New Roman" w:hAnsi="Times New Roman"/>
          <w:sz w:val="20"/>
          <w:szCs w:val="20"/>
          <w:color w:val="0000EE"/>
        </w:rPr>
      </w:pPr>
    </w:p>
    <w:p>
      <w:pPr>
        <w:ind w:left="420" w:right="160"/>
        <w:spacing w:after="0" w:line="276" w:lineRule="auto"/>
        <w:rPr>
          <w:sz w:val="20"/>
          <w:szCs w:val="20"/>
          <w:color w:val="auto"/>
        </w:rPr>
      </w:pPr>
      <w:r>
        <w:rPr>
          <w:rFonts w:ascii="Times New Roman" w:cs="Times New Roman" w:eastAsia="Times New Roman" w:hAnsi="Times New Roman"/>
          <w:sz w:val="20"/>
          <w:szCs w:val="20"/>
          <w:color w:val="auto"/>
        </w:rPr>
        <w:t>Exhibits to the filings will not be sent, however, unless those exhibits have specifically been incorporated by reference in this prospectus or any accompanying prospectus supplement.</w:t>
      </w:r>
    </w:p>
    <w:p>
      <w:pPr>
        <w:spacing w:after="0" w:line="70" w:lineRule="exact"/>
        <w:rPr>
          <w:rFonts w:ascii="Times New Roman" w:cs="Times New Roman" w:eastAsia="Times New Roman" w:hAnsi="Times New Roman"/>
          <w:sz w:val="20"/>
          <w:szCs w:val="20"/>
          <w:color w:val="0000EE"/>
        </w:rPr>
      </w:pPr>
    </w:p>
    <w:p>
      <w:pPr>
        <w:jc w:val="center"/>
        <w:ind w:right="-45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800"/>
          </w:cols>
          <w:pgMar w:left="320" w:top="437" w:right="7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5">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2"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20"/>
          <w:szCs w:val="20"/>
          <w:b w:val="1"/>
          <w:bCs w:val="1"/>
          <w:color w:val="auto"/>
        </w:rPr>
        <w:t>THE COMPANY</w:t>
      </w:r>
    </w:p>
    <w:p>
      <w:pPr>
        <w:spacing w:after="0" w:line="207" w:lineRule="exact"/>
        <w:rPr>
          <w:sz w:val="20"/>
          <w:szCs w:val="20"/>
          <w:color w:val="auto"/>
        </w:rPr>
      </w:pPr>
    </w:p>
    <w:p>
      <w:pPr>
        <w:ind w:left="420"/>
        <w:spacing w:after="0" w:line="245" w:lineRule="auto"/>
        <w:rPr>
          <w:sz w:val="20"/>
          <w:szCs w:val="20"/>
          <w:color w:val="auto"/>
        </w:rPr>
      </w:pPr>
      <w:r>
        <w:rPr>
          <w:rFonts w:ascii="Times New Roman" w:cs="Times New Roman" w:eastAsia="Times New Roman" w:hAnsi="Times New Roman"/>
          <w:sz w:val="20"/>
          <w:szCs w:val="20"/>
          <w:color w:val="auto"/>
        </w:rPr>
        <w:t>We are an in vitro diagnostics company and leader in the rapid detection of sepsis-causing pathogens and antibiotic resistance genes. Our technology enables rapid detection of pathogens, biomarkers and other abnormalities in a variety of unpurified patient sample types, including whole blood, plasma, serum, saliva, sputum and urine, and can detect cellular targets at limits of detection as low as one colony forming unit per milliliter, or CFU/mL. We are currently targeting what we believe to be a range of critically underserved healthcare conditions, focusing initially on those for which rapid detection may enable faster targeted antimicrobial treatment, improve patient outcomes, and reduce cost. Our current focus includes three areas – sepsis, bioterrorism, and Lyme disease – which we believe collectively represent a multi-billion dollar market opportunity.</w:t>
      </w:r>
    </w:p>
    <w:p>
      <w:pPr>
        <w:spacing w:after="0" w:line="165" w:lineRule="exact"/>
        <w:rPr>
          <w:sz w:val="20"/>
          <w:szCs w:val="20"/>
          <w:color w:val="auto"/>
        </w:rPr>
      </w:pPr>
    </w:p>
    <w:p>
      <w:pPr>
        <w:ind w:left="420" w:right="580"/>
        <w:spacing w:after="0" w:line="276" w:lineRule="auto"/>
        <w:rPr>
          <w:sz w:val="20"/>
          <w:szCs w:val="20"/>
          <w:color w:val="auto"/>
        </w:rPr>
      </w:pPr>
      <w:r>
        <w:rPr>
          <w:rFonts w:ascii="Times New Roman" w:cs="Times New Roman" w:eastAsia="Times New Roman" w:hAnsi="Times New Roman"/>
          <w:sz w:val="20"/>
          <w:szCs w:val="20"/>
          <w:color w:val="auto"/>
        </w:rPr>
        <w:t>We own various U.S. federal trademark registrations and applications, and unregistered trademarks and service marks, including T2 Biosystems</w:t>
      </w:r>
      <w:r>
        <w:rPr>
          <w:rFonts w:ascii="Times New Roman" w:cs="Times New Roman" w:eastAsia="Times New Roman" w:hAnsi="Times New Roman"/>
          <w:sz w:val="15"/>
          <w:szCs w:val="15"/>
          <w:color w:val="auto"/>
        </w:rPr>
        <w:t>®</w:t>
      </w:r>
      <w:r>
        <w:rPr>
          <w:rFonts w:ascii="Times New Roman" w:cs="Times New Roman" w:eastAsia="Times New Roman" w:hAnsi="Times New Roman"/>
          <w:sz w:val="20"/>
          <w:szCs w:val="20"/>
          <w:color w:val="auto"/>
        </w:rPr>
        <w:t>, T2MR</w:t>
      </w:r>
      <w:r>
        <w:rPr>
          <w:rFonts w:ascii="Times New Roman" w:cs="Times New Roman" w:eastAsia="Times New Roman" w:hAnsi="Times New Roman"/>
          <w:sz w:val="15"/>
          <w:szCs w:val="15"/>
          <w:color w:val="auto"/>
        </w:rPr>
        <w:t>®</w:t>
      </w:r>
      <w:r>
        <w:rPr>
          <w:rFonts w:ascii="Times New Roman" w:cs="Times New Roman" w:eastAsia="Times New Roman" w:hAnsi="Times New Roman"/>
          <w:sz w:val="20"/>
          <w:szCs w:val="20"/>
          <w:color w:val="auto"/>
        </w:rPr>
        <w:t>, T2Dx</w:t>
      </w:r>
      <w:r>
        <w:rPr>
          <w:rFonts w:ascii="Times New Roman" w:cs="Times New Roman" w:eastAsia="Times New Roman" w:hAnsi="Times New Roman"/>
          <w:sz w:val="15"/>
          <w:szCs w:val="15"/>
          <w:color w:val="auto"/>
        </w:rPr>
        <w:t>®</w:t>
      </w:r>
      <w:r>
        <w:rPr>
          <w:rFonts w:ascii="Times New Roman" w:cs="Times New Roman" w:eastAsia="Times New Roman" w:hAnsi="Times New Roman"/>
          <w:sz w:val="20"/>
          <w:szCs w:val="20"/>
          <w:color w:val="auto"/>
        </w:rPr>
        <w:t>, T2Candida</w:t>
      </w:r>
      <w:r>
        <w:rPr>
          <w:rFonts w:ascii="Times New Roman" w:cs="Times New Roman" w:eastAsia="Times New Roman" w:hAnsi="Times New Roman"/>
          <w:sz w:val="15"/>
          <w:szCs w:val="15"/>
          <w:color w:val="auto"/>
        </w:rPr>
        <w:t>®</w:t>
      </w:r>
      <w:r>
        <w:rPr>
          <w:rFonts w:ascii="Times New Roman" w:cs="Times New Roman" w:eastAsia="Times New Roman" w:hAnsi="Times New Roman"/>
          <w:sz w:val="20"/>
          <w:szCs w:val="20"/>
          <w:color w:val="auto"/>
        </w:rPr>
        <w:t>, T2Bacteria</w:t>
      </w:r>
      <w:r>
        <w:rPr>
          <w:rFonts w:ascii="Times New Roman" w:cs="Times New Roman" w:eastAsia="Times New Roman" w:hAnsi="Times New Roman"/>
          <w:sz w:val="15"/>
          <w:szCs w:val="15"/>
          <w:color w:val="auto"/>
        </w:rPr>
        <w:t>®</w:t>
      </w:r>
      <w:r>
        <w:rPr>
          <w:rFonts w:ascii="Times New Roman" w:cs="Times New Roman" w:eastAsia="Times New Roman" w:hAnsi="Times New Roman"/>
          <w:sz w:val="20"/>
          <w:szCs w:val="20"/>
          <w:color w:val="auto"/>
        </w:rPr>
        <w:t>, T2SARS-CoV-2</w:t>
      </w:r>
      <w:r>
        <w:rPr>
          <w:rFonts w:ascii="Times New Roman" w:cs="Times New Roman" w:eastAsia="Times New Roman" w:hAnsi="Times New Roman"/>
          <w:sz w:val="15"/>
          <w:szCs w:val="15"/>
          <w:color w:val="auto"/>
        </w:rPr>
        <w:t>TM</w:t>
      </w:r>
      <w:r>
        <w:rPr>
          <w:rFonts w:ascii="Times New Roman" w:cs="Times New Roman" w:eastAsia="Times New Roman" w:hAnsi="Times New Roman"/>
          <w:sz w:val="20"/>
          <w:szCs w:val="20"/>
          <w:color w:val="auto"/>
        </w:rPr>
        <w:t xml:space="preserve"> and T2Lyme</w:t>
      </w:r>
      <w:r>
        <w:rPr>
          <w:rFonts w:ascii="Times New Roman" w:cs="Times New Roman" w:eastAsia="Times New Roman" w:hAnsi="Times New Roman"/>
          <w:sz w:val="15"/>
          <w:szCs w:val="15"/>
          <w:color w:val="auto"/>
        </w:rPr>
        <w:t>TM</w:t>
      </w:r>
      <w:r>
        <w:rPr>
          <w:rFonts w:ascii="Times New Roman" w:cs="Times New Roman" w:eastAsia="Times New Roman" w:hAnsi="Times New Roman"/>
          <w:sz w:val="20"/>
          <w:szCs w:val="20"/>
          <w:color w:val="auto"/>
        </w:rPr>
        <w:t>.</w:t>
      </w:r>
    </w:p>
    <w:p>
      <w:pPr>
        <w:spacing w:after="0" w:line="133" w:lineRule="exact"/>
        <w:rPr>
          <w:sz w:val="20"/>
          <w:szCs w:val="20"/>
          <w:color w:val="auto"/>
        </w:rPr>
      </w:pPr>
    </w:p>
    <w:p>
      <w:pPr>
        <w:ind w:left="420" w:right="380"/>
        <w:spacing w:after="0" w:line="276" w:lineRule="auto"/>
        <w:rPr>
          <w:sz w:val="20"/>
          <w:szCs w:val="20"/>
          <w:color w:val="auto"/>
        </w:rPr>
      </w:pPr>
      <w:r>
        <w:rPr>
          <w:rFonts w:ascii="Times New Roman" w:cs="Times New Roman" w:eastAsia="Times New Roman" w:hAnsi="Times New Roman"/>
          <w:sz w:val="20"/>
          <w:szCs w:val="20"/>
          <w:color w:val="auto"/>
        </w:rPr>
        <w:t>We were incorporated under the laws of the State of Delaware in 2006. Our principal executive offices are located at 101 Hartwell Ave., Lexington, MA 02421 and our telephone number is (781) 761-4646.</w:t>
      </w:r>
    </w:p>
    <w:p>
      <w:pPr>
        <w:spacing w:after="0" w:line="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0660"/>
          </w:cols>
          <w:pgMar w:left="320" w:top="437" w:right="9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6">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2"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20"/>
          <w:szCs w:val="20"/>
          <w:b w:val="1"/>
          <w:bCs w:val="1"/>
          <w:color w:val="auto"/>
        </w:rPr>
        <w:t>RISK FACTORS</w:t>
      </w:r>
    </w:p>
    <w:p>
      <w:pPr>
        <w:spacing w:after="0" w:line="207" w:lineRule="exact"/>
        <w:rPr>
          <w:sz w:val="20"/>
          <w:szCs w:val="20"/>
          <w:color w:val="auto"/>
        </w:rPr>
      </w:pPr>
    </w:p>
    <w:p>
      <w:pPr>
        <w:ind w:left="420"/>
        <w:spacing w:after="0" w:line="245" w:lineRule="auto"/>
        <w:rPr>
          <w:sz w:val="20"/>
          <w:szCs w:val="20"/>
          <w:color w:val="auto"/>
        </w:rPr>
      </w:pPr>
      <w:r>
        <w:rPr>
          <w:rFonts w:ascii="Times New Roman" w:cs="Times New Roman" w:eastAsia="Times New Roman" w:hAnsi="Times New Roman"/>
          <w:sz w:val="20"/>
          <w:szCs w:val="20"/>
          <w:color w:val="auto"/>
        </w:rPr>
        <w:t>Investment in any securities offered pursuant to this prospectus and the applicable prospectus supplement involves risks.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w:t>
      </w:r>
    </w:p>
    <w:p>
      <w:pPr>
        <w:spacing w:after="0" w:line="10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0620"/>
          </w:cols>
          <w:pgMar w:left="320" w:top="437" w:right="9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7">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b w:val="1"/>
          <w:bCs w:val="1"/>
          <w:color w:val="auto"/>
        </w:rPr>
        <w:t>USE OF PROCEEDS</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We intend to use the net proceeds from the sale of the securities as set forth in the applicable prospectus supplement.</w:t>
      </w:r>
    </w:p>
    <w:p>
      <w:pPr>
        <w:spacing w:after="0" w:line="1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0139"/>
          </w:cols>
          <w:pgMar w:left="320" w:top="437"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8">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DESCRIPTION OF CAPITAL STOCK</w:t>
      </w:r>
    </w:p>
    <w:p>
      <w:pPr>
        <w:spacing w:after="0" w:line="207" w:lineRule="exact"/>
        <w:rPr>
          <w:sz w:val="20"/>
          <w:szCs w:val="20"/>
          <w:color w:val="auto"/>
        </w:rPr>
      </w:pPr>
    </w:p>
    <w:p>
      <w:pPr>
        <w:ind w:left="420" w:right="380"/>
        <w:spacing w:after="0" w:line="251" w:lineRule="auto"/>
        <w:rPr>
          <w:sz w:val="20"/>
          <w:szCs w:val="20"/>
          <w:color w:val="auto"/>
        </w:rPr>
      </w:pPr>
      <w:r>
        <w:rPr>
          <w:rFonts w:ascii="Times New Roman" w:cs="Times New Roman" w:eastAsia="Times New Roman" w:hAnsi="Times New Roman"/>
          <w:sz w:val="20"/>
          <w:szCs w:val="20"/>
          <w:color w:val="auto"/>
        </w:rPr>
        <w:t>The following description of our capital stock is not complete and may not contain all the information you should consider before investing in our capital stock. This description is summarized from, and qualified in its entirety by reference to, our certificate of incorporation, which has been publicly filed with the SEC. See “Where You Can Find More Information; Incorporation by Reference.”</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Our authorized capital stock consists of:</w:t>
      </w:r>
    </w:p>
    <w:p>
      <w:pPr>
        <w:spacing w:after="0" w:line="228" w:lineRule="exact"/>
        <w:rPr>
          <w:sz w:val="20"/>
          <w:szCs w:val="20"/>
          <w:color w:val="auto"/>
        </w:rPr>
      </w:pPr>
    </w:p>
    <w:p>
      <w:pPr>
        <w:ind w:left="1240" w:hanging="404"/>
        <w:spacing w:after="0"/>
        <w:tabs>
          <w:tab w:leader="none" w:pos="12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400,000,000 shares of common stock, $0.001 par value; and</w:t>
      </w:r>
    </w:p>
    <w:p>
      <w:pPr>
        <w:spacing w:after="0" w:line="22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10,000,000 shares of preferred stock, $0.001 par value.</w:t>
      </w:r>
    </w:p>
    <w:p>
      <w:pPr>
        <w:spacing w:after="0" w:line="3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i w:val="1"/>
          <w:iCs w:val="1"/>
          <w:color w:val="auto"/>
        </w:rPr>
        <w:t>Voting Rights and Election of Directors</w:t>
      </w:r>
    </w:p>
    <w:p>
      <w:pPr>
        <w:spacing w:after="0" w:line="107" w:lineRule="exact"/>
        <w:rPr>
          <w:sz w:val="20"/>
          <w:szCs w:val="20"/>
          <w:color w:val="auto"/>
        </w:rPr>
      </w:pPr>
    </w:p>
    <w:p>
      <w:pPr>
        <w:ind w:left="420" w:right="20"/>
        <w:spacing w:after="0" w:line="243" w:lineRule="auto"/>
        <w:rPr>
          <w:sz w:val="20"/>
          <w:szCs w:val="20"/>
          <w:color w:val="auto"/>
        </w:rPr>
      </w:pPr>
      <w:r>
        <w:rPr>
          <w:rFonts w:ascii="Times New Roman" w:cs="Times New Roman" w:eastAsia="Times New Roman" w:hAnsi="Times New Roman"/>
          <w:sz w:val="20"/>
          <w:szCs w:val="20"/>
          <w:color w:val="auto"/>
        </w:rPr>
        <w:t>Holders of our common stock are entitled to one vote for each share held of record on all matters submitted to a vote of stockholders and do not have any cumulative voting rights. An election of directors by our stockholders is determined by a plurality of the votes cast by the stockholders entitled to vote in the election. Subject to the supermajority votes for some matters, other matters are decided by the affirmative vote of our stockholders having a majority in voting power of the votes cast by the stockholders present or represented and voting on such matter.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restated certificate of incorporation.</w:t>
      </w:r>
    </w:p>
    <w:p>
      <w:pPr>
        <w:spacing w:after="0" w:line="2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i w:val="1"/>
          <w:iCs w:val="1"/>
          <w:color w:val="auto"/>
        </w:rPr>
        <w:t>Other Rights and Preferences</w:t>
      </w:r>
    </w:p>
    <w:p>
      <w:pPr>
        <w:spacing w:after="0" w:line="1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Our common stock has no preemptive, subscription, redemption or conversion rights or sinking fund provisions.</w:t>
      </w:r>
    </w:p>
    <w:p>
      <w:pPr>
        <w:spacing w:after="0" w:line="2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i w:val="1"/>
          <w:iCs w:val="1"/>
          <w:color w:val="auto"/>
        </w:rPr>
        <w:t>Liquidation</w:t>
      </w:r>
    </w:p>
    <w:p>
      <w:pPr>
        <w:spacing w:after="0" w:line="107" w:lineRule="exact"/>
        <w:rPr>
          <w:sz w:val="20"/>
          <w:szCs w:val="20"/>
          <w:color w:val="auto"/>
        </w:rPr>
      </w:pPr>
    </w:p>
    <w:p>
      <w:pPr>
        <w:jc w:val="both"/>
        <w:ind w:left="420"/>
        <w:spacing w:after="0" w:line="257" w:lineRule="auto"/>
        <w:rPr>
          <w:sz w:val="20"/>
          <w:szCs w:val="20"/>
          <w:color w:val="auto"/>
        </w:rPr>
      </w:pPr>
      <w:r>
        <w:rPr>
          <w:rFonts w:ascii="Times New Roman" w:cs="Times New Roman" w:eastAsia="Times New Roman" w:hAnsi="Times New Roman"/>
          <w:sz w:val="20"/>
          <w:szCs w:val="20"/>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w:t>
      </w:r>
    </w:p>
    <w:p>
      <w:pPr>
        <w:spacing w:after="0" w:line="2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i w:val="1"/>
          <w:iCs w:val="1"/>
          <w:color w:val="auto"/>
        </w:rPr>
        <w:t>Fully Paid and Non-Assessable</w:t>
      </w:r>
    </w:p>
    <w:p>
      <w:pPr>
        <w:spacing w:after="0" w:line="1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All outstanding shares of common stock are fully paid and non-assessable.</w:t>
      </w:r>
    </w:p>
    <w:p>
      <w:pPr>
        <w:spacing w:after="0" w:line="13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0800"/>
          </w:cols>
          <w:pgMar w:left="320" w:top="437" w:right="7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9">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auto"/>
        </w:rPr>
        <w:t>Transfer Agent</w:t>
      </w:r>
    </w:p>
    <w:p>
      <w:pPr>
        <w:spacing w:after="0" w:line="1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The transfer agent and registrar for our common stock is Equiniti Trust Company, LLC.</w:t>
      </w:r>
    </w:p>
    <w:p>
      <w:pPr>
        <w:spacing w:after="0" w:line="3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auto"/>
        </w:rPr>
        <w:t>Dividend</w:t>
      </w:r>
    </w:p>
    <w:p>
      <w:pPr>
        <w:spacing w:after="0" w:line="105" w:lineRule="exact"/>
        <w:rPr>
          <w:sz w:val="20"/>
          <w:szCs w:val="20"/>
          <w:color w:val="auto"/>
        </w:rPr>
      </w:pPr>
    </w:p>
    <w:p>
      <w:pPr>
        <w:ind w:left="420" w:right="100"/>
        <w:spacing w:after="0" w:line="257" w:lineRule="auto"/>
        <w:rPr>
          <w:sz w:val="20"/>
          <w:szCs w:val="20"/>
          <w:color w:val="auto"/>
        </w:rPr>
      </w:pPr>
      <w:r>
        <w:rPr>
          <w:rFonts w:ascii="Times New Roman" w:cs="Times New Roman" w:eastAsia="Times New Roman" w:hAnsi="Times New Roman"/>
          <w:sz w:val="20"/>
          <w:szCs w:val="20"/>
          <w:color w:val="auto"/>
        </w:rPr>
        <w:t>Holders of our common stock are entitled to receive proportionately any dividends as may be declared by the board of directors, subject to any preferential dividend rights of any outstanding preferred stock that we may designate and issue in the future. The Company has not paid cash dividends on any of its shares of capital stock.</w:t>
      </w:r>
    </w:p>
    <w:p>
      <w:pPr>
        <w:spacing w:after="0" w:line="2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auto"/>
        </w:rPr>
        <w:t>Preferred Stock</w:t>
      </w:r>
    </w:p>
    <w:p>
      <w:pPr>
        <w:spacing w:after="0" w:line="105" w:lineRule="exact"/>
        <w:rPr>
          <w:sz w:val="20"/>
          <w:szCs w:val="20"/>
          <w:color w:val="auto"/>
        </w:rPr>
      </w:pPr>
    </w:p>
    <w:p>
      <w:pPr>
        <w:ind w:left="420" w:right="220"/>
        <w:spacing w:after="0" w:line="251" w:lineRule="auto"/>
        <w:rPr>
          <w:sz w:val="20"/>
          <w:szCs w:val="20"/>
          <w:color w:val="auto"/>
        </w:rPr>
      </w:pPr>
      <w:r>
        <w:rPr>
          <w:rFonts w:ascii="Times New Roman" w:cs="Times New Roman" w:eastAsia="Times New Roman" w:hAnsi="Times New Roman"/>
          <w:sz w:val="20"/>
          <w:szCs w:val="20"/>
          <w:color w:val="auto"/>
        </w:rPr>
        <w:t>Our board of directors is authorized to direct us to issue up to 10,000,000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59" w:lineRule="exact"/>
        <w:rPr>
          <w:sz w:val="20"/>
          <w:szCs w:val="20"/>
          <w:color w:val="auto"/>
        </w:rPr>
      </w:pPr>
    </w:p>
    <w:p>
      <w:pPr>
        <w:ind w:left="420"/>
        <w:spacing w:after="0" w:line="248" w:lineRule="auto"/>
        <w:rPr>
          <w:sz w:val="20"/>
          <w:szCs w:val="20"/>
          <w:color w:val="auto"/>
        </w:rPr>
      </w:pPr>
      <w:r>
        <w:rPr>
          <w:rFonts w:ascii="Times New Roman" w:cs="Times New Roman" w:eastAsia="Times New Roman" w:hAnsi="Times New Roman"/>
          <w:sz w:val="20"/>
          <w:szCs w:val="20"/>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w:t>
      </w:r>
    </w:p>
    <w:p>
      <w:pPr>
        <w:spacing w:after="0" w:line="2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auto"/>
        </w:rPr>
        <w:t>Staggered Board</w:t>
      </w:r>
    </w:p>
    <w:p>
      <w:pPr>
        <w:spacing w:after="0" w:line="105" w:lineRule="exact"/>
        <w:rPr>
          <w:sz w:val="20"/>
          <w:szCs w:val="20"/>
          <w:color w:val="auto"/>
        </w:rPr>
      </w:pPr>
    </w:p>
    <w:p>
      <w:pPr>
        <w:jc w:val="both"/>
        <w:ind w:left="420" w:right="360"/>
        <w:spacing w:after="0" w:line="251" w:lineRule="auto"/>
        <w:rPr>
          <w:sz w:val="20"/>
          <w:szCs w:val="20"/>
          <w:color w:val="auto"/>
        </w:rPr>
      </w:pPr>
      <w:r>
        <w:rPr>
          <w:rFonts w:ascii="Times New Roman" w:cs="Times New Roman" w:eastAsia="Times New Roman" w:hAnsi="Times New Roman"/>
          <w:sz w:val="20"/>
          <w:szCs w:val="20"/>
          <w:color w:val="auto"/>
        </w:rPr>
        <w:t>Our board of directors is divided into three classes. The directors in each class serve for a three 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auto"/>
        </w:rPr>
        <w:t>Anti-Takeover Effects of Delaware Law</w:t>
      </w:r>
    </w:p>
    <w:p>
      <w:pPr>
        <w:spacing w:after="0" w:line="105" w:lineRule="exact"/>
        <w:rPr>
          <w:sz w:val="20"/>
          <w:szCs w:val="20"/>
          <w:color w:val="auto"/>
        </w:rPr>
      </w:pPr>
    </w:p>
    <w:p>
      <w:pPr>
        <w:ind w:left="420" w:right="80"/>
        <w:spacing w:after="0" w:line="257" w:lineRule="auto"/>
        <w:rPr>
          <w:sz w:val="20"/>
          <w:szCs w:val="20"/>
          <w:color w:val="auto"/>
        </w:rPr>
      </w:pPr>
      <w:r>
        <w:rPr>
          <w:rFonts w:ascii="Times New Roman" w:cs="Times New Roman" w:eastAsia="Times New Roman" w:hAnsi="Times New Roman"/>
          <w:sz w:val="20"/>
          <w:szCs w:val="20"/>
          <w:color w:val="auto"/>
        </w:rPr>
        <w:t>We are subject to the provisions of Section 203 of the Delaware General Corporation Law. Under Section 203, we would generally be prohibited from engaging in any business combination with any interested stockholder for a period of three years following the time that this stockholder became an interested stockholder unless:</w:t>
      </w:r>
    </w:p>
    <w:p>
      <w:pPr>
        <w:spacing w:after="0" w:line="178" w:lineRule="exact"/>
        <w:rPr>
          <w:sz w:val="20"/>
          <w:szCs w:val="20"/>
          <w:color w:val="auto"/>
        </w:rPr>
      </w:pPr>
    </w:p>
    <w:p>
      <w:pPr>
        <w:ind w:left="1240" w:right="860" w:hanging="404"/>
        <w:spacing w:after="0" w:line="276" w:lineRule="auto"/>
        <w:tabs>
          <w:tab w:leader="none" w:pos="12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this time, the board of directors of the corporation approved either the business combination or the transaction that resulted in the stockholder becoming an interested stockholder;</w:t>
      </w:r>
    </w:p>
    <w:p>
      <w:pPr>
        <w:spacing w:after="0" w:line="158" w:lineRule="exact"/>
        <w:rPr>
          <w:rFonts w:ascii="Times New Roman" w:cs="Times New Roman" w:eastAsia="Times New Roman" w:hAnsi="Times New Roman"/>
          <w:sz w:val="20"/>
          <w:szCs w:val="20"/>
          <w:color w:val="auto"/>
        </w:rPr>
      </w:pPr>
    </w:p>
    <w:p>
      <w:pPr>
        <w:ind w:left="1240" w:right="560" w:hanging="404"/>
        <w:spacing w:after="0" w:line="276" w:lineRule="auto"/>
        <w:tabs>
          <w:tab w:leader="none" w:pos="12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consummation of the transaction that resulted in the stockholder becoming an interested stockholder, the interested stockholder owned at least 85% of the voting</w:t>
      </w:r>
    </w:p>
    <w:p>
      <w:pPr>
        <w:spacing w:after="0" w:line="7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0780"/>
          </w:cols>
          <w:pgMar w:left="320" w:top="437" w:right="7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0">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6" w:lineRule="exact"/>
        <w:rPr>
          <w:sz w:val="20"/>
          <w:szCs w:val="20"/>
          <w:color w:val="auto"/>
        </w:rPr>
      </w:pPr>
    </w:p>
    <w:p>
      <w:pPr>
        <w:ind w:left="1260"/>
        <w:spacing w:after="0" w:line="257" w:lineRule="auto"/>
        <w:rPr>
          <w:sz w:val="20"/>
          <w:szCs w:val="20"/>
          <w:color w:val="auto"/>
        </w:rPr>
      </w:pPr>
      <w:r>
        <w:rPr>
          <w:rFonts w:ascii="Times New Roman" w:cs="Times New Roman" w:eastAsia="Times New Roman" w:hAnsi="Times New Roman"/>
          <w:sz w:val="20"/>
          <w:szCs w:val="20"/>
          <w:color w:val="auto"/>
        </w:rPr>
        <w:t>stock of the corporation outstanding at the time the transaction commenced, excluding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178" w:lineRule="exact"/>
        <w:rPr>
          <w:sz w:val="20"/>
          <w:szCs w:val="20"/>
          <w:color w:val="auto"/>
        </w:rPr>
      </w:pPr>
    </w:p>
    <w:p>
      <w:pPr>
        <w:ind w:left="1240" w:right="120" w:hanging="404"/>
        <w:spacing w:after="0" w:line="257" w:lineRule="auto"/>
        <w:tabs>
          <w:tab w:leader="none" w:pos="12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or subsequent to such time, the business combination is approved by the board of directors and authorized at an annual or special meeting of stockholders, and not by written consent, by the affirmative vote of at least 66 2/3% of the outstanding voting stock that is not owned by the interested stockholder.</w:t>
      </w:r>
    </w:p>
    <w:p>
      <w:pPr>
        <w:spacing w:after="0" w:line="1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Under Section 203, a “business combination” includes:</w:t>
      </w:r>
    </w:p>
    <w:p>
      <w:pPr>
        <w:spacing w:after="0" w:line="228" w:lineRule="exact"/>
        <w:rPr>
          <w:sz w:val="20"/>
          <w:szCs w:val="20"/>
          <w:color w:val="auto"/>
        </w:rPr>
      </w:pPr>
    </w:p>
    <w:p>
      <w:pPr>
        <w:ind w:left="1240" w:hanging="404"/>
        <w:spacing w:after="0"/>
        <w:tabs>
          <w:tab w:leader="none" w:pos="12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merger or consolidation involving the corporation and the interested stockholder;</w:t>
      </w:r>
    </w:p>
    <w:p>
      <w:pPr>
        <w:spacing w:after="0" w:line="228" w:lineRule="exact"/>
        <w:rPr>
          <w:rFonts w:ascii="Times New Roman" w:cs="Times New Roman" w:eastAsia="Times New Roman" w:hAnsi="Times New Roman"/>
          <w:sz w:val="20"/>
          <w:szCs w:val="20"/>
          <w:color w:val="auto"/>
        </w:rPr>
      </w:pPr>
    </w:p>
    <w:p>
      <w:pPr>
        <w:ind w:left="1240" w:hanging="404"/>
        <w:spacing w:after="0" w:line="276" w:lineRule="auto"/>
        <w:tabs>
          <w:tab w:leader="none" w:pos="12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sale, transfer, pledge or other disposition of 10% or more of the assets of the corporation involving the interested stockholder;</w:t>
      </w:r>
    </w:p>
    <w:p>
      <w:pPr>
        <w:spacing w:after="0" w:line="158" w:lineRule="exact"/>
        <w:rPr>
          <w:rFonts w:ascii="Times New Roman" w:cs="Times New Roman" w:eastAsia="Times New Roman" w:hAnsi="Times New Roman"/>
          <w:sz w:val="20"/>
          <w:szCs w:val="20"/>
          <w:color w:val="auto"/>
        </w:rPr>
      </w:pPr>
    </w:p>
    <w:p>
      <w:pPr>
        <w:ind w:left="1240" w:right="600" w:hanging="404"/>
        <w:spacing w:after="0" w:line="276" w:lineRule="auto"/>
        <w:tabs>
          <w:tab w:leader="none" w:pos="12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transaction that results in the issuance or transfer by the corporation of any stock of the corporation to the interested stockholder, subject to limited exceptions;</w:t>
      </w:r>
    </w:p>
    <w:p>
      <w:pPr>
        <w:spacing w:after="0" w:line="158" w:lineRule="exact"/>
        <w:rPr>
          <w:rFonts w:ascii="Times New Roman" w:cs="Times New Roman" w:eastAsia="Times New Roman" w:hAnsi="Times New Roman"/>
          <w:sz w:val="20"/>
          <w:szCs w:val="20"/>
          <w:color w:val="auto"/>
        </w:rPr>
      </w:pPr>
    </w:p>
    <w:p>
      <w:pPr>
        <w:ind w:left="1240" w:right="80" w:hanging="404"/>
        <w:spacing w:after="0" w:line="276" w:lineRule="auto"/>
        <w:tabs>
          <w:tab w:leader="none" w:pos="12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transaction involving the corporation that has the effect of increasing the proportionate share of the stock of any class or series of the corporation beneficially owned by the interested stockholder; or</w:t>
      </w:r>
    </w:p>
    <w:p>
      <w:pPr>
        <w:spacing w:after="0" w:line="158" w:lineRule="exact"/>
        <w:rPr>
          <w:rFonts w:ascii="Times New Roman" w:cs="Times New Roman" w:eastAsia="Times New Roman" w:hAnsi="Times New Roman"/>
          <w:sz w:val="20"/>
          <w:szCs w:val="20"/>
          <w:color w:val="auto"/>
        </w:rPr>
      </w:pPr>
    </w:p>
    <w:p>
      <w:pPr>
        <w:ind w:left="1240" w:right="100" w:hanging="404"/>
        <w:spacing w:after="0" w:line="276" w:lineRule="auto"/>
        <w:tabs>
          <w:tab w:leader="none" w:pos="12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receipt by the interested stockholder of the benefit of any loans, advances, guarantees, pledges or other financial benefits provided by or through the corporation.</w:t>
      </w:r>
    </w:p>
    <w:p>
      <w:pPr>
        <w:spacing w:after="0" w:line="133" w:lineRule="exact"/>
        <w:rPr>
          <w:sz w:val="20"/>
          <w:szCs w:val="20"/>
          <w:color w:val="auto"/>
        </w:rPr>
      </w:pPr>
    </w:p>
    <w:p>
      <w:pPr>
        <w:ind w:left="420" w:right="160"/>
        <w:spacing w:after="0" w:line="257" w:lineRule="auto"/>
        <w:rPr>
          <w:sz w:val="20"/>
          <w:szCs w:val="20"/>
          <w:color w:val="auto"/>
        </w:rPr>
      </w:pPr>
      <w:r>
        <w:rPr>
          <w:rFonts w:ascii="Times New Roman" w:cs="Times New Roman" w:eastAsia="Times New Roman" w:hAnsi="Times New Roman"/>
          <w:sz w:val="20"/>
          <w:szCs w:val="20"/>
          <w:color w:val="auto"/>
        </w:rPr>
        <w:t>In general, Section 203 defines an interested stockholder as an entity or person beneficially owning 15% or more of the outstanding voting stock of the corporation and any entity or person affiliated with or controlling or controlled by such entity or person.</w:t>
      </w:r>
    </w:p>
    <w:p>
      <w:pPr>
        <w:spacing w:after="0" w:line="8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0780"/>
          </w:cols>
          <w:pgMar w:left="320" w:top="437" w:right="7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1">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0"/>
          <w:szCs w:val="20"/>
          <w:b w:val="1"/>
          <w:bCs w:val="1"/>
          <w:color w:val="auto"/>
        </w:rPr>
        <w:t>DESCRIPTION OF DEBT SECURITIES</w:t>
      </w:r>
    </w:p>
    <w:p>
      <w:pPr>
        <w:spacing w:after="0" w:line="207" w:lineRule="exact"/>
        <w:rPr>
          <w:sz w:val="20"/>
          <w:szCs w:val="20"/>
          <w:color w:val="auto"/>
        </w:rPr>
      </w:pPr>
    </w:p>
    <w:p>
      <w:pPr>
        <w:ind w:left="420"/>
        <w:spacing w:after="0" w:line="248" w:lineRule="auto"/>
        <w:rPr>
          <w:sz w:val="20"/>
          <w:szCs w:val="20"/>
          <w:color w:val="auto"/>
        </w:rPr>
      </w:pPr>
      <w:r>
        <w:rPr>
          <w:rFonts w:ascii="Times New Roman" w:cs="Times New Roman" w:eastAsia="Times New Roman" w:hAnsi="Times New Roman"/>
          <w:sz w:val="20"/>
          <w:szCs w:val="20"/>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62" w:lineRule="exact"/>
        <w:rPr>
          <w:sz w:val="20"/>
          <w:szCs w:val="20"/>
          <w:color w:val="auto"/>
        </w:rPr>
      </w:pPr>
    </w:p>
    <w:p>
      <w:pPr>
        <w:ind w:left="420" w:right="40"/>
        <w:spacing w:after="0" w:line="251" w:lineRule="auto"/>
        <w:rPr>
          <w:sz w:val="20"/>
          <w:szCs w:val="20"/>
          <w:color w:val="auto"/>
        </w:rPr>
      </w:pPr>
      <w:r>
        <w:rPr>
          <w:rFonts w:ascii="Times New Roman" w:cs="Times New Roman" w:eastAsia="Times New Roman" w:hAnsi="Times New Roman"/>
          <w:sz w:val="20"/>
          <w:szCs w:val="20"/>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59" w:lineRule="exact"/>
        <w:rPr>
          <w:sz w:val="20"/>
          <w:szCs w:val="20"/>
          <w:color w:val="auto"/>
        </w:rPr>
      </w:pPr>
    </w:p>
    <w:p>
      <w:pPr>
        <w:ind w:left="420" w:right="120"/>
        <w:spacing w:after="0" w:line="248" w:lineRule="auto"/>
        <w:rPr>
          <w:sz w:val="20"/>
          <w:szCs w:val="20"/>
          <w:color w:val="auto"/>
        </w:rPr>
      </w:pPr>
      <w:r>
        <w:rPr>
          <w:rFonts w:ascii="Times New Roman" w:cs="Times New Roman" w:eastAsia="Times New Roman" w:hAnsi="Times New Roman"/>
          <w:sz w:val="20"/>
          <w:szCs w:val="20"/>
          <w:color w:val="auto"/>
        </w:rPr>
        <w:t>The debt securities will be issued under an indenture between us and a third-party trustee to be identified therein.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As used in this section only, “T2 Biosystems,” “we,” “our” or “us” refer to T2 Biosystems, Inc.</w:t>
      </w:r>
    </w:p>
    <w:p>
      <w:pPr>
        <w:spacing w:after="0" w:line="3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05" w:lineRule="exact"/>
        <w:rPr>
          <w:sz w:val="20"/>
          <w:szCs w:val="20"/>
          <w:color w:val="auto"/>
        </w:rPr>
      </w:pPr>
    </w:p>
    <w:p>
      <w:pPr>
        <w:ind w:left="420" w:right="260"/>
        <w:spacing w:after="0" w:line="251" w:lineRule="auto"/>
        <w:rPr>
          <w:sz w:val="20"/>
          <w:szCs w:val="20"/>
          <w:color w:val="auto"/>
        </w:rPr>
      </w:pPr>
      <w:r>
        <w:rPr>
          <w:rFonts w:ascii="Times New Roman" w:cs="Times New Roman" w:eastAsia="Times New Roman" w:hAnsi="Times New Roman"/>
          <w:sz w:val="20"/>
          <w:szCs w:val="20"/>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w:t>
      </w:r>
    </w:p>
    <w:p>
      <w:pPr>
        <w:spacing w:after="0" w:line="159" w:lineRule="exact"/>
        <w:rPr>
          <w:sz w:val="20"/>
          <w:szCs w:val="20"/>
          <w:color w:val="auto"/>
        </w:rPr>
      </w:pPr>
    </w:p>
    <w:p>
      <w:pPr>
        <w:ind w:left="420" w:right="80"/>
        <w:spacing w:after="0" w:line="251" w:lineRule="auto"/>
        <w:rPr>
          <w:sz w:val="20"/>
          <w:szCs w:val="20"/>
          <w:color w:val="auto"/>
        </w:rPr>
      </w:pPr>
      <w:r>
        <w:rPr>
          <w:rFonts w:ascii="Times New Roman" w:cs="Times New Roman" w:eastAsia="Times New Roman" w:hAnsi="Times New Roman"/>
          <w:sz w:val="20"/>
          <w:szCs w:val="20"/>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pacing w:after="0" w:line="184" w:lineRule="exact"/>
        <w:rPr>
          <w:sz w:val="20"/>
          <w:szCs w:val="20"/>
          <w:color w:val="auto"/>
        </w:rPr>
      </w:pPr>
    </w:p>
    <w:p>
      <w:pPr>
        <w:ind w:left="1240" w:hanging="404"/>
        <w:spacing w:after="0"/>
        <w:tabs>
          <w:tab w:leader="none" w:pos="12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title and ranking of the debt securities (including the terms of any subordination provisions);</w:t>
      </w:r>
    </w:p>
    <w:p>
      <w:pPr>
        <w:spacing w:after="0" w:line="228" w:lineRule="exact"/>
        <w:rPr>
          <w:rFonts w:ascii="Times New Roman" w:cs="Times New Roman" w:eastAsia="Times New Roman" w:hAnsi="Times New Roman"/>
          <w:sz w:val="20"/>
          <w:szCs w:val="20"/>
          <w:color w:val="auto"/>
        </w:rPr>
      </w:pPr>
    </w:p>
    <w:p>
      <w:pPr>
        <w:jc w:val="center"/>
        <w:ind w:left="5520" w:right="520" w:hanging="4684"/>
        <w:spacing w:after="0" w:line="422" w:lineRule="auto"/>
        <w:tabs>
          <w:tab w:leader="none" w:pos="1237"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price or prices (expressed as a percentage of the principal amount) at which we will sell the debt securities; 11</w:t>
      </w:r>
    </w:p>
    <w:p>
      <w:pPr>
        <w:sectPr>
          <w:pgSz w:w="11900" w:h="16838" w:orient="portrait"/>
          <w:cols w:equalWidth="0" w:num="1">
            <w:col w:w="10780"/>
          </w:cols>
          <w:pgMar w:left="320" w:top="437" w:right="7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2">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6" w:lineRule="exact"/>
        <w:rPr>
          <w:sz w:val="20"/>
          <w:szCs w:val="20"/>
          <w:color w:val="auto"/>
        </w:rPr>
      </w:pPr>
    </w:p>
    <w:p>
      <w:pPr>
        <w:ind w:left="1240" w:hanging="404"/>
        <w:spacing w:after="0"/>
        <w:tabs>
          <w:tab w:leader="none" w:pos="12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limit on the aggregate principal amount of the debt securities;</w:t>
      </w:r>
    </w:p>
    <w:p>
      <w:pPr>
        <w:spacing w:after="0" w:line="22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or dates on which the principal of the securities of the series is payable;</w:t>
      </w:r>
    </w:p>
    <w:p>
      <w:pPr>
        <w:spacing w:after="0" w:line="228" w:lineRule="exact"/>
        <w:rPr>
          <w:rFonts w:ascii="Times New Roman" w:cs="Times New Roman" w:eastAsia="Times New Roman" w:hAnsi="Times New Roman"/>
          <w:sz w:val="20"/>
          <w:szCs w:val="20"/>
          <w:color w:val="auto"/>
        </w:rPr>
      </w:pPr>
    </w:p>
    <w:p>
      <w:pPr>
        <w:ind w:left="1240" w:right="180" w:hanging="404"/>
        <w:spacing w:after="0" w:line="251" w:lineRule="auto"/>
        <w:tabs>
          <w:tab w:leader="none" w:pos="12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183" w:lineRule="exact"/>
        <w:rPr>
          <w:rFonts w:ascii="Times New Roman" w:cs="Times New Roman" w:eastAsia="Times New Roman" w:hAnsi="Times New Roman"/>
          <w:sz w:val="20"/>
          <w:szCs w:val="20"/>
          <w:color w:val="auto"/>
        </w:rPr>
      </w:pPr>
    </w:p>
    <w:p>
      <w:pPr>
        <w:jc w:val="both"/>
        <w:ind w:left="1240" w:right="160" w:hanging="404"/>
        <w:spacing w:after="0" w:line="257" w:lineRule="auto"/>
        <w:tabs>
          <w:tab w:leader="none" w:pos="12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178" w:lineRule="exact"/>
        <w:rPr>
          <w:rFonts w:ascii="Times New Roman" w:cs="Times New Roman" w:eastAsia="Times New Roman" w:hAnsi="Times New Roman"/>
          <w:sz w:val="20"/>
          <w:szCs w:val="20"/>
          <w:color w:val="auto"/>
        </w:rPr>
      </w:pPr>
    </w:p>
    <w:p>
      <w:pPr>
        <w:ind w:left="1240" w:right="320" w:hanging="404"/>
        <w:spacing w:after="0" w:line="276" w:lineRule="auto"/>
        <w:tabs>
          <w:tab w:leader="none" w:pos="12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period or periods within which, the price or prices at which and the terms and conditions upon which we may redeem the debt securities;</w:t>
      </w:r>
    </w:p>
    <w:p>
      <w:pPr>
        <w:spacing w:after="0" w:line="158" w:lineRule="exact"/>
        <w:rPr>
          <w:rFonts w:ascii="Times New Roman" w:cs="Times New Roman" w:eastAsia="Times New Roman" w:hAnsi="Times New Roman"/>
          <w:sz w:val="20"/>
          <w:szCs w:val="20"/>
          <w:color w:val="auto"/>
        </w:rPr>
      </w:pPr>
    </w:p>
    <w:p>
      <w:pPr>
        <w:ind w:left="1240" w:right="40" w:hanging="404"/>
        <w:spacing w:after="0" w:line="251" w:lineRule="auto"/>
        <w:tabs>
          <w:tab w:leader="none" w:pos="12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183" w:lineRule="exact"/>
        <w:rPr>
          <w:rFonts w:ascii="Times New Roman" w:cs="Times New Roman" w:eastAsia="Times New Roman" w:hAnsi="Times New Roman"/>
          <w:sz w:val="20"/>
          <w:szCs w:val="20"/>
          <w:color w:val="auto"/>
        </w:rPr>
      </w:pPr>
    </w:p>
    <w:p>
      <w:pPr>
        <w:ind w:left="1240" w:right="140" w:hanging="404"/>
        <w:spacing w:after="0" w:line="276" w:lineRule="auto"/>
        <w:tabs>
          <w:tab w:leader="none" w:pos="12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dates on which and the price or prices at which we will repurchase debt securities at the option of the holders of debt securities and other detailed terms and provisions of these repurchase obligations;</w:t>
      </w:r>
    </w:p>
    <w:p>
      <w:pPr>
        <w:spacing w:after="0" w:line="158" w:lineRule="exact"/>
        <w:rPr>
          <w:rFonts w:ascii="Times New Roman" w:cs="Times New Roman" w:eastAsia="Times New Roman" w:hAnsi="Times New Roman"/>
          <w:sz w:val="20"/>
          <w:szCs w:val="20"/>
          <w:color w:val="auto"/>
        </w:rPr>
      </w:pPr>
    </w:p>
    <w:p>
      <w:pPr>
        <w:ind w:left="1240" w:right="40" w:hanging="404"/>
        <w:spacing w:after="0" w:line="276" w:lineRule="auto"/>
        <w:tabs>
          <w:tab w:leader="none" w:pos="12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denominations in which the debt securities will be issued, if other than denominations of $1,000 and any integral multiple thereof;</w:t>
      </w:r>
    </w:p>
    <w:p>
      <w:pPr>
        <w:spacing w:after="0" w:line="15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the debt securities will be issued in the form of certificated debt securities or global debt securities;</w:t>
      </w:r>
    </w:p>
    <w:p>
      <w:pPr>
        <w:spacing w:after="0" w:line="228" w:lineRule="exact"/>
        <w:rPr>
          <w:rFonts w:ascii="Times New Roman" w:cs="Times New Roman" w:eastAsia="Times New Roman" w:hAnsi="Times New Roman"/>
          <w:sz w:val="20"/>
          <w:szCs w:val="20"/>
          <w:color w:val="auto"/>
        </w:rPr>
      </w:pPr>
    </w:p>
    <w:p>
      <w:pPr>
        <w:ind w:left="1240" w:right="20" w:hanging="404"/>
        <w:spacing w:after="0" w:line="276" w:lineRule="auto"/>
        <w:tabs>
          <w:tab w:leader="none" w:pos="12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portion of principal amount of the debt securities payable upon declaration of acceleration of the maturity date, if other than the principal amount;</w:t>
      </w:r>
    </w:p>
    <w:p>
      <w:pPr>
        <w:spacing w:after="0" w:line="158" w:lineRule="exact"/>
        <w:rPr>
          <w:rFonts w:ascii="Times New Roman" w:cs="Times New Roman" w:eastAsia="Times New Roman" w:hAnsi="Times New Roman"/>
          <w:sz w:val="20"/>
          <w:szCs w:val="20"/>
          <w:color w:val="auto"/>
        </w:rPr>
      </w:pPr>
    </w:p>
    <w:p>
      <w:pPr>
        <w:ind w:left="1240" w:hanging="404"/>
        <w:spacing w:after="0" w:line="257" w:lineRule="auto"/>
        <w:tabs>
          <w:tab w:leader="none" w:pos="12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178" w:lineRule="exact"/>
        <w:rPr>
          <w:rFonts w:ascii="Times New Roman" w:cs="Times New Roman" w:eastAsia="Times New Roman" w:hAnsi="Times New Roman"/>
          <w:sz w:val="20"/>
          <w:szCs w:val="20"/>
          <w:color w:val="auto"/>
        </w:rPr>
      </w:pPr>
    </w:p>
    <w:p>
      <w:pPr>
        <w:ind w:left="1240" w:right="100" w:hanging="404"/>
        <w:spacing w:after="0" w:line="276" w:lineRule="auto"/>
        <w:tabs>
          <w:tab w:leader="none" w:pos="12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designation of the currency, currencies or currency units in which payment of principal of, premium and interest on the debt securities will be made;</w:t>
      </w:r>
    </w:p>
    <w:p>
      <w:pPr>
        <w:spacing w:after="0" w:line="158" w:lineRule="exact"/>
        <w:rPr>
          <w:rFonts w:ascii="Times New Roman" w:cs="Times New Roman" w:eastAsia="Times New Roman" w:hAnsi="Times New Roman"/>
          <w:sz w:val="20"/>
          <w:szCs w:val="20"/>
          <w:color w:val="auto"/>
        </w:rPr>
      </w:pPr>
    </w:p>
    <w:p>
      <w:pPr>
        <w:ind w:left="1240" w:right="420" w:hanging="404"/>
        <w:spacing w:after="0" w:line="276" w:lineRule="auto"/>
        <w:tabs>
          <w:tab w:leader="none" w:pos="12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payments of principal of, premium or interest on the debt securities will be made in one or more currencies or currency units other than that or those in which the debt</w:t>
      </w:r>
    </w:p>
    <w:p>
      <w:pPr>
        <w:spacing w:after="0" w:line="7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0780"/>
          </w:cols>
          <w:pgMar w:left="320" w:top="437" w:right="7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3">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6" w:lineRule="exact"/>
        <w:rPr>
          <w:sz w:val="20"/>
          <w:szCs w:val="20"/>
          <w:color w:val="auto"/>
        </w:rPr>
      </w:pPr>
    </w:p>
    <w:p>
      <w:pPr>
        <w:ind w:left="1260" w:right="960"/>
        <w:spacing w:after="0" w:line="276" w:lineRule="auto"/>
        <w:rPr>
          <w:sz w:val="20"/>
          <w:szCs w:val="20"/>
          <w:color w:val="auto"/>
        </w:rPr>
      </w:pPr>
      <w:r>
        <w:rPr>
          <w:rFonts w:ascii="Times New Roman" w:cs="Times New Roman" w:eastAsia="Times New Roman" w:hAnsi="Times New Roman"/>
          <w:sz w:val="20"/>
          <w:szCs w:val="20"/>
          <w:color w:val="auto"/>
        </w:rPr>
        <w:t>securities are denominated, the manner in which the exchange rate with respect to these payments will be determined;</w:t>
      </w:r>
    </w:p>
    <w:p>
      <w:pPr>
        <w:spacing w:after="0" w:line="159" w:lineRule="exact"/>
        <w:rPr>
          <w:sz w:val="20"/>
          <w:szCs w:val="20"/>
          <w:color w:val="auto"/>
        </w:rPr>
      </w:pPr>
    </w:p>
    <w:p>
      <w:pPr>
        <w:ind w:left="1240" w:right="60" w:hanging="404"/>
        <w:spacing w:after="0" w:line="257" w:lineRule="auto"/>
        <w:tabs>
          <w:tab w:leader="none" w:pos="12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17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provisions relating to any security provided for the debt securities;</w:t>
      </w:r>
    </w:p>
    <w:p>
      <w:pPr>
        <w:spacing w:after="0" w:line="228" w:lineRule="exact"/>
        <w:rPr>
          <w:rFonts w:ascii="Times New Roman" w:cs="Times New Roman" w:eastAsia="Times New Roman" w:hAnsi="Times New Roman"/>
          <w:sz w:val="20"/>
          <w:szCs w:val="20"/>
          <w:color w:val="auto"/>
        </w:rPr>
      </w:pPr>
    </w:p>
    <w:p>
      <w:pPr>
        <w:ind w:left="1240" w:right="240" w:hanging="404"/>
        <w:spacing w:after="0" w:line="257" w:lineRule="auto"/>
        <w:tabs>
          <w:tab w:leader="none" w:pos="12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178" w:lineRule="exact"/>
        <w:rPr>
          <w:rFonts w:ascii="Times New Roman" w:cs="Times New Roman" w:eastAsia="Times New Roman" w:hAnsi="Times New Roman"/>
          <w:sz w:val="20"/>
          <w:szCs w:val="20"/>
          <w:color w:val="auto"/>
        </w:rPr>
      </w:pPr>
    </w:p>
    <w:p>
      <w:pPr>
        <w:ind w:left="1240" w:right="20" w:hanging="404"/>
        <w:spacing w:after="0" w:line="276" w:lineRule="auto"/>
        <w:tabs>
          <w:tab w:leader="none" w:pos="12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addition to, deletion of or change in the covenants described in this prospectus or in the indenture with respect to the debt securities;</w:t>
      </w:r>
    </w:p>
    <w:p>
      <w:pPr>
        <w:spacing w:after="0" w:line="158" w:lineRule="exact"/>
        <w:rPr>
          <w:rFonts w:ascii="Times New Roman" w:cs="Times New Roman" w:eastAsia="Times New Roman" w:hAnsi="Times New Roman"/>
          <w:sz w:val="20"/>
          <w:szCs w:val="20"/>
          <w:color w:val="auto"/>
        </w:rPr>
      </w:pPr>
    </w:p>
    <w:p>
      <w:pPr>
        <w:ind w:left="1240" w:right="100" w:hanging="404"/>
        <w:spacing w:after="0" w:line="276" w:lineRule="auto"/>
        <w:tabs>
          <w:tab w:leader="none" w:pos="12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depositaries, interest rate calculation agents, exchange rate calculation agents or other agents with respect to the debt securities;</w:t>
      </w:r>
    </w:p>
    <w:p>
      <w:pPr>
        <w:spacing w:after="0" w:line="158" w:lineRule="exact"/>
        <w:rPr>
          <w:rFonts w:ascii="Times New Roman" w:cs="Times New Roman" w:eastAsia="Times New Roman" w:hAnsi="Times New Roman"/>
          <w:sz w:val="20"/>
          <w:szCs w:val="20"/>
          <w:color w:val="auto"/>
        </w:rPr>
      </w:pPr>
    </w:p>
    <w:p>
      <w:pPr>
        <w:jc w:val="both"/>
        <w:ind w:left="1240" w:hanging="404"/>
        <w:spacing w:after="0" w:line="257" w:lineRule="auto"/>
        <w:tabs>
          <w:tab w:leader="none" w:pos="12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178" w:lineRule="exact"/>
        <w:rPr>
          <w:rFonts w:ascii="Times New Roman" w:cs="Times New Roman" w:eastAsia="Times New Roman" w:hAnsi="Times New Roman"/>
          <w:sz w:val="20"/>
          <w:szCs w:val="20"/>
          <w:color w:val="auto"/>
        </w:rPr>
      </w:pPr>
    </w:p>
    <w:p>
      <w:pPr>
        <w:jc w:val="both"/>
        <w:ind w:left="1240" w:right="220" w:hanging="404"/>
        <w:spacing w:after="0" w:line="257" w:lineRule="auto"/>
        <w:tabs>
          <w:tab w:leader="none" w:pos="12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178" w:lineRule="exact"/>
        <w:rPr>
          <w:rFonts w:ascii="Times New Roman" w:cs="Times New Roman" w:eastAsia="Times New Roman" w:hAnsi="Times New Roman"/>
          <w:sz w:val="20"/>
          <w:szCs w:val="20"/>
          <w:color w:val="auto"/>
        </w:rPr>
      </w:pPr>
    </w:p>
    <w:p>
      <w:pPr>
        <w:ind w:left="1240" w:right="80" w:hanging="404"/>
        <w:spacing w:after="0" w:line="276" w:lineRule="auto"/>
        <w:tabs>
          <w:tab w:leader="none" w:pos="12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any of our direct or indirect subsidiaries will guarantee the debt securities of that series, including the terms of subordination, if any, of such guarantees. (Section 2.2)</w:t>
      </w:r>
    </w:p>
    <w:p>
      <w:pPr>
        <w:spacing w:after="0" w:line="133" w:lineRule="exact"/>
        <w:rPr>
          <w:sz w:val="20"/>
          <w:szCs w:val="20"/>
          <w:color w:val="auto"/>
        </w:rPr>
      </w:pPr>
    </w:p>
    <w:p>
      <w:pPr>
        <w:ind w:left="420" w:right="280"/>
        <w:spacing w:after="0" w:line="251" w:lineRule="auto"/>
        <w:rPr>
          <w:sz w:val="20"/>
          <w:szCs w:val="20"/>
          <w:color w:val="auto"/>
        </w:rPr>
      </w:pPr>
      <w:r>
        <w:rPr>
          <w:rFonts w:ascii="Times New Roman" w:cs="Times New Roman" w:eastAsia="Times New Roman" w:hAnsi="Times New Roman"/>
          <w:sz w:val="20"/>
          <w:szCs w:val="20"/>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59" w:lineRule="exact"/>
        <w:rPr>
          <w:sz w:val="20"/>
          <w:szCs w:val="20"/>
          <w:color w:val="auto"/>
        </w:rPr>
      </w:pPr>
    </w:p>
    <w:p>
      <w:pPr>
        <w:ind w:left="420" w:right="100"/>
        <w:spacing w:after="0" w:line="251" w:lineRule="auto"/>
        <w:rPr>
          <w:sz w:val="20"/>
          <w:szCs w:val="20"/>
          <w:color w:val="auto"/>
        </w:rPr>
      </w:pPr>
      <w:r>
        <w:rPr>
          <w:rFonts w:ascii="Times New Roman" w:cs="Times New Roman" w:eastAsia="Times New Roman" w:hAnsi="Times New Roman"/>
          <w:sz w:val="20"/>
          <w:szCs w:val="20"/>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w:t>
      </w:r>
    </w:p>
    <w:p>
      <w:pPr>
        <w:spacing w:after="0" w:line="9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0800"/>
          </w:cols>
          <w:pgMar w:left="320" w:top="437" w:right="7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4">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6" w:lineRule="exact"/>
        <w:rPr>
          <w:sz w:val="20"/>
          <w:szCs w:val="20"/>
          <w:color w:val="auto"/>
        </w:rPr>
      </w:pPr>
    </w:p>
    <w:p>
      <w:pPr>
        <w:ind w:left="420" w:right="260"/>
        <w:spacing w:after="0" w:line="276" w:lineRule="auto"/>
        <w:rPr>
          <w:sz w:val="20"/>
          <w:szCs w:val="20"/>
          <w:color w:val="auto"/>
        </w:rPr>
      </w:pPr>
      <w:r>
        <w:rPr>
          <w:rFonts w:ascii="Times New Roman" w:cs="Times New Roman" w:eastAsia="Times New Roman" w:hAnsi="Times New Roman"/>
          <w:sz w:val="20"/>
          <w:szCs w:val="20"/>
          <w:color w:val="auto"/>
        </w:rPr>
        <w:t>issue of debt securities and such foreign currency or currencies or foreign currency unit or units in the applicable prospectus supplement.</w:t>
      </w:r>
    </w:p>
    <w:p>
      <w:pPr>
        <w:spacing w:after="0" w:line="2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auto"/>
        </w:rPr>
        <w:t>Transfer and Exchange</w:t>
      </w:r>
    </w:p>
    <w:p>
      <w:pPr>
        <w:spacing w:after="0" w:line="105" w:lineRule="exact"/>
        <w:rPr>
          <w:sz w:val="20"/>
          <w:szCs w:val="20"/>
          <w:color w:val="auto"/>
        </w:rPr>
      </w:pPr>
    </w:p>
    <w:p>
      <w:pPr>
        <w:ind w:left="420" w:right="80"/>
        <w:spacing w:after="0" w:line="246" w:lineRule="auto"/>
        <w:rPr>
          <w:sz w:val="20"/>
          <w:szCs w:val="20"/>
          <w:color w:val="auto"/>
        </w:rPr>
      </w:pPr>
      <w:r>
        <w:rPr>
          <w:rFonts w:ascii="Times New Roman" w:cs="Times New Roman" w:eastAsia="Times New Roman" w:hAnsi="Times New Roman"/>
          <w:sz w:val="20"/>
          <w:szCs w:val="20"/>
          <w:color w:val="auto"/>
        </w:rPr>
        <w:t>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61" w:lineRule="exact"/>
        <w:rPr>
          <w:sz w:val="20"/>
          <w:szCs w:val="20"/>
          <w:color w:val="auto"/>
        </w:rPr>
      </w:pPr>
    </w:p>
    <w:p>
      <w:pPr>
        <w:ind w:left="420" w:right="600"/>
        <w:spacing w:after="0" w:line="252" w:lineRule="auto"/>
        <w:rPr>
          <w:sz w:val="20"/>
          <w:szCs w:val="20"/>
          <w:color w:val="auto"/>
        </w:rPr>
      </w:pPr>
      <w:r>
        <w:rPr>
          <w:rFonts w:ascii="Times New Roman" w:cs="Times New Roman" w:eastAsia="Times New Roman" w:hAnsi="Times New Roman"/>
          <w:sz w:val="20"/>
          <w:szCs w:val="20"/>
          <w:i w:val="1"/>
          <w:iCs w:val="1"/>
          <w:color w:val="auto"/>
        </w:rPr>
        <w:t>Certificated Debt Securities</w:t>
      </w:r>
      <w:r>
        <w:rPr>
          <w:rFonts w:ascii="Times New Roman" w:cs="Times New Roman" w:eastAsia="Times New Roman" w:hAnsi="Times New Roman"/>
          <w:sz w:val="20"/>
          <w:szCs w:val="20"/>
          <w:color w:val="auto"/>
        </w:rPr>
        <w:t>. You may transfer or exchange certificated debt securities at any office we maintain for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159" w:lineRule="exact"/>
        <w:rPr>
          <w:sz w:val="20"/>
          <w:szCs w:val="20"/>
          <w:color w:val="auto"/>
        </w:rPr>
      </w:pPr>
    </w:p>
    <w:p>
      <w:pPr>
        <w:ind w:left="420" w:right="80"/>
        <w:spacing w:after="0" w:line="251" w:lineRule="auto"/>
        <w:rPr>
          <w:sz w:val="20"/>
          <w:szCs w:val="20"/>
          <w:color w:val="auto"/>
        </w:rPr>
      </w:pPr>
      <w:r>
        <w:rPr>
          <w:rFonts w:ascii="Times New Roman" w:cs="Times New Roman" w:eastAsia="Times New Roman" w:hAnsi="Times New Roman"/>
          <w:sz w:val="20"/>
          <w:szCs w:val="20"/>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55" w:lineRule="exact"/>
        <w:rPr>
          <w:sz w:val="20"/>
          <w:szCs w:val="20"/>
          <w:color w:val="auto"/>
        </w:rPr>
      </w:pPr>
    </w:p>
    <w:p>
      <w:pPr>
        <w:ind w:left="420" w:right="260"/>
        <w:spacing w:after="0" w:line="259" w:lineRule="auto"/>
        <w:rPr>
          <w:sz w:val="20"/>
          <w:szCs w:val="20"/>
          <w:color w:val="auto"/>
        </w:rPr>
      </w:pPr>
      <w:r>
        <w:rPr>
          <w:rFonts w:ascii="Times New Roman" w:cs="Times New Roman" w:eastAsia="Times New Roman" w:hAnsi="Times New Roman"/>
          <w:sz w:val="20"/>
          <w:szCs w:val="20"/>
          <w:i w:val="1"/>
          <w:iCs w:val="1"/>
          <w:color w:val="auto"/>
        </w:rPr>
        <w:t>Global Debt Securities and Book-Entry System</w:t>
      </w:r>
      <w:r>
        <w:rPr>
          <w:rFonts w:ascii="Times New Roman" w:cs="Times New Roman" w:eastAsia="Times New Roman" w:hAnsi="Times New Roman"/>
          <w:sz w:val="20"/>
          <w:szCs w:val="20"/>
          <w:color w:val="auto"/>
        </w:rPr>
        <w:t>. Each global debt security representing book-entry debt securities will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deposited with, or on behalf of, the Depositary, and registered in the name of the Depositary or a nominee of the Depositary. Please see “Global Securities.”</w:t>
      </w:r>
    </w:p>
    <w:p>
      <w:pPr>
        <w:spacing w:after="0" w:line="2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auto"/>
        </w:rPr>
        <w:t>Covenants</w:t>
      </w:r>
    </w:p>
    <w:p>
      <w:pPr>
        <w:spacing w:after="0" w:line="105" w:lineRule="exact"/>
        <w:rPr>
          <w:sz w:val="20"/>
          <w:szCs w:val="20"/>
          <w:color w:val="auto"/>
        </w:rPr>
      </w:pPr>
    </w:p>
    <w:p>
      <w:pPr>
        <w:ind w:left="420" w:right="240"/>
        <w:spacing w:after="0" w:line="276" w:lineRule="auto"/>
        <w:rPr>
          <w:sz w:val="20"/>
          <w:szCs w:val="20"/>
          <w:color w:val="auto"/>
        </w:rPr>
      </w:pPr>
      <w:r>
        <w:rPr>
          <w:rFonts w:ascii="Times New Roman" w:cs="Times New Roman" w:eastAsia="Times New Roman" w:hAnsi="Times New Roman"/>
          <w:sz w:val="20"/>
          <w:szCs w:val="20"/>
          <w:color w:val="auto"/>
        </w:rPr>
        <w:t>We will set forth in the applicable prospectus supplement any restrictive covenants applicable to any issue of debt securities. (Article IV)</w:t>
      </w:r>
    </w:p>
    <w:p>
      <w:pPr>
        <w:spacing w:after="0" w:line="2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auto"/>
        </w:rPr>
        <w:t>No Protection in the Event of a Change of Control</w:t>
      </w:r>
    </w:p>
    <w:p>
      <w:pPr>
        <w:spacing w:after="0" w:line="105" w:lineRule="exact"/>
        <w:rPr>
          <w:sz w:val="20"/>
          <w:szCs w:val="20"/>
          <w:color w:val="auto"/>
        </w:rPr>
      </w:pPr>
    </w:p>
    <w:p>
      <w:pPr>
        <w:ind w:left="420" w:right="220"/>
        <w:spacing w:after="0" w:line="251" w:lineRule="auto"/>
        <w:rPr>
          <w:sz w:val="20"/>
          <w:szCs w:val="20"/>
          <w:color w:val="auto"/>
        </w:rPr>
      </w:pPr>
      <w:r>
        <w:rPr>
          <w:rFonts w:ascii="Times New Roman" w:cs="Times New Roman" w:eastAsia="Times New Roman" w:hAnsi="Times New Roman"/>
          <w:sz w:val="20"/>
          <w:szCs w:val="20"/>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auto"/>
        </w:rPr>
        <w:t>Consolidation, Merger and Sale of Assets</w:t>
      </w:r>
    </w:p>
    <w:p>
      <w:pPr>
        <w:spacing w:after="0" w:line="105" w:lineRule="exact"/>
        <w:rPr>
          <w:sz w:val="20"/>
          <w:szCs w:val="20"/>
          <w:color w:val="auto"/>
        </w:rPr>
      </w:pPr>
    </w:p>
    <w:p>
      <w:pPr>
        <w:ind w:left="420" w:right="360"/>
        <w:spacing w:after="0" w:line="276" w:lineRule="auto"/>
        <w:rPr>
          <w:sz w:val="20"/>
          <w:szCs w:val="20"/>
          <w:color w:val="auto"/>
        </w:rPr>
      </w:pPr>
      <w:r>
        <w:rPr>
          <w:rFonts w:ascii="Times New Roman" w:cs="Times New Roman" w:eastAsia="Times New Roman" w:hAnsi="Times New Roman"/>
          <w:sz w:val="20"/>
          <w:szCs w:val="20"/>
          <w:color w:val="auto"/>
        </w:rPr>
        <w:t>We may not consolidate with or merge with or into, or convey, transfer or lease all or substantially all of our properties and assets to any person (a “successor person”) unless:</w:t>
      </w:r>
    </w:p>
    <w:p>
      <w:pPr>
        <w:spacing w:after="0" w:line="159" w:lineRule="exact"/>
        <w:rPr>
          <w:sz w:val="20"/>
          <w:szCs w:val="20"/>
          <w:color w:val="auto"/>
        </w:rPr>
      </w:pPr>
    </w:p>
    <w:p>
      <w:pPr>
        <w:ind w:left="1240" w:hanging="404"/>
        <w:spacing w:after="0" w:line="276" w:lineRule="auto"/>
        <w:tabs>
          <w:tab w:leader="none" w:pos="12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the surviving corporation or the successor person (if other than T2 Biosystems) is a corporation organized and validly existing under the laws of any U.S. domestic</w:t>
      </w:r>
    </w:p>
    <w:p>
      <w:pPr>
        <w:spacing w:after="0" w:line="7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0800"/>
          </w:cols>
          <w:pgMar w:left="320" w:top="437" w:right="7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5">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jurisdiction and expressly assumes our obligations on the debt securities and under the indenture; and</w:t>
      </w:r>
    </w:p>
    <w:p>
      <w:pPr>
        <w:spacing w:after="0" w:line="228" w:lineRule="exact"/>
        <w:rPr>
          <w:sz w:val="20"/>
          <w:szCs w:val="20"/>
          <w:color w:val="auto"/>
        </w:rPr>
      </w:pPr>
    </w:p>
    <w:p>
      <w:pPr>
        <w:ind w:left="1240" w:right="700" w:hanging="404"/>
        <w:spacing w:after="0" w:line="276" w:lineRule="auto"/>
        <w:tabs>
          <w:tab w:leader="none" w:pos="12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after giving effect to the transaction, no Default or Event of Default, shall have occurred and be continuing.</w:t>
      </w:r>
    </w:p>
    <w:p>
      <w:pPr>
        <w:spacing w:after="0" w:line="133" w:lineRule="exact"/>
        <w:rPr>
          <w:sz w:val="20"/>
          <w:szCs w:val="20"/>
          <w:color w:val="auto"/>
        </w:rPr>
      </w:pPr>
    </w:p>
    <w:p>
      <w:pPr>
        <w:ind w:left="420" w:right="180"/>
        <w:spacing w:after="0" w:line="276" w:lineRule="auto"/>
        <w:rPr>
          <w:sz w:val="20"/>
          <w:szCs w:val="20"/>
          <w:color w:val="auto"/>
        </w:rPr>
      </w:pPr>
      <w:r>
        <w:rPr>
          <w:rFonts w:ascii="Times New Roman" w:cs="Times New Roman" w:eastAsia="Times New Roman" w:hAnsi="Times New Roman"/>
          <w:sz w:val="20"/>
          <w:szCs w:val="20"/>
          <w:color w:val="auto"/>
        </w:rPr>
        <w:t>Notwithstanding the above, any of our subsidiaries may consolidate with, merge into or transfer all or part of its properties to us. (Section 5.1)</w:t>
      </w:r>
    </w:p>
    <w:p>
      <w:pPr>
        <w:spacing w:after="0" w:line="2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auto"/>
        </w:rPr>
        <w:t>Events of Default</w:t>
      </w:r>
    </w:p>
    <w:p>
      <w:pPr>
        <w:spacing w:after="0" w:line="1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“Event of Default” means with respect to any series of debt securities, any of the following:</w:t>
      </w:r>
    </w:p>
    <w:p>
      <w:pPr>
        <w:spacing w:after="0" w:line="228" w:lineRule="exact"/>
        <w:rPr>
          <w:sz w:val="20"/>
          <w:szCs w:val="20"/>
          <w:color w:val="auto"/>
        </w:rPr>
      </w:pPr>
    </w:p>
    <w:p>
      <w:pPr>
        <w:ind w:left="1240" w:right="120" w:hanging="404"/>
        <w:spacing w:after="0" w:line="257" w:lineRule="auto"/>
        <w:tabs>
          <w:tab w:leader="none" w:pos="12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17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 in the payment of principal of any security of that series at its maturity;</w:t>
      </w:r>
    </w:p>
    <w:p>
      <w:pPr>
        <w:spacing w:after="0" w:line="228" w:lineRule="exact"/>
        <w:rPr>
          <w:rFonts w:ascii="Times New Roman" w:cs="Times New Roman" w:eastAsia="Times New Roman" w:hAnsi="Times New Roman"/>
          <w:sz w:val="20"/>
          <w:szCs w:val="20"/>
          <w:color w:val="auto"/>
        </w:rPr>
      </w:pPr>
    </w:p>
    <w:p>
      <w:pPr>
        <w:ind w:left="1240" w:hanging="404"/>
        <w:spacing w:after="0" w:line="248" w:lineRule="auto"/>
        <w:tabs>
          <w:tab w:leader="none" w:pos="12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T2 Biosystems and the trustee receive written notice from the holders of not less than 25% in principal amount of the outstanding debt securities of that series as provided in the indenture;</w:t>
      </w:r>
    </w:p>
    <w:p>
      <w:pPr>
        <w:spacing w:after="0" w:line="187"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voluntary or involuntary events of bankruptcy, insolvency or reorganization of T2 Biosystems;</w:t>
      </w:r>
    </w:p>
    <w:p>
      <w:pPr>
        <w:spacing w:after="0" w:line="228" w:lineRule="exact"/>
        <w:rPr>
          <w:rFonts w:ascii="Times New Roman" w:cs="Times New Roman" w:eastAsia="Times New Roman" w:hAnsi="Times New Roman"/>
          <w:sz w:val="20"/>
          <w:szCs w:val="20"/>
          <w:color w:val="auto"/>
        </w:rPr>
      </w:pPr>
    </w:p>
    <w:p>
      <w:pPr>
        <w:ind w:left="1240" w:right="280" w:hanging="404"/>
        <w:spacing w:after="0" w:line="276" w:lineRule="auto"/>
        <w:tabs>
          <w:tab w:leader="none" w:pos="12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Event of Default provided with respect to debt securities of that series that is described in the applicable prospectus supplement. (Section 6.1)</w:t>
      </w:r>
    </w:p>
    <w:p>
      <w:pPr>
        <w:spacing w:after="0" w:line="133" w:lineRule="exact"/>
        <w:rPr>
          <w:sz w:val="20"/>
          <w:szCs w:val="20"/>
          <w:color w:val="auto"/>
        </w:rPr>
      </w:pPr>
    </w:p>
    <w:p>
      <w:pPr>
        <w:ind w:left="420" w:right="120"/>
        <w:spacing w:after="0" w:line="251" w:lineRule="auto"/>
        <w:rPr>
          <w:sz w:val="20"/>
          <w:szCs w:val="20"/>
          <w:color w:val="auto"/>
        </w:rPr>
      </w:pPr>
      <w:r>
        <w:rPr>
          <w:rFonts w:ascii="Times New Roman" w:cs="Times New Roman" w:eastAsia="Times New Roman" w:hAnsi="Times New Roman"/>
          <w:sz w:val="20"/>
          <w:szCs w:val="20"/>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159" w:lineRule="exact"/>
        <w:rPr>
          <w:sz w:val="20"/>
          <w:szCs w:val="20"/>
          <w:color w:val="auto"/>
        </w:rPr>
      </w:pPr>
    </w:p>
    <w:p>
      <w:pPr>
        <w:ind w:left="420" w:right="320"/>
        <w:spacing w:after="0" w:line="257" w:lineRule="auto"/>
        <w:rPr>
          <w:sz w:val="20"/>
          <w:szCs w:val="20"/>
          <w:color w:val="auto"/>
        </w:rPr>
      </w:pPr>
      <w:r>
        <w:rPr>
          <w:rFonts w:ascii="Times New Roman" w:cs="Times New Roman" w:eastAsia="Times New Roman" w:hAnsi="Times New Roman"/>
          <w:sz w:val="20"/>
          <w:szCs w:val="20"/>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153" w:lineRule="exact"/>
        <w:rPr>
          <w:sz w:val="20"/>
          <w:szCs w:val="20"/>
          <w:color w:val="auto"/>
        </w:rPr>
      </w:pPr>
    </w:p>
    <w:p>
      <w:pPr>
        <w:ind w:left="420" w:right="320"/>
        <w:spacing w:after="0" w:line="276" w:lineRule="auto"/>
        <w:rPr>
          <w:sz w:val="20"/>
          <w:szCs w:val="20"/>
          <w:color w:val="auto"/>
        </w:rPr>
      </w:pPr>
      <w:r>
        <w:rPr>
          <w:rFonts w:ascii="Times New Roman" w:cs="Times New Roman" w:eastAsia="Times New Roman" w:hAnsi="Times New Roman"/>
          <w:sz w:val="20"/>
          <w:szCs w:val="20"/>
          <w:color w:val="auto"/>
        </w:rPr>
        <w:t>If an Event of Default with respect to debt securities of any series at the time outstanding occurs and is continuing, then the trustee or the holders of not less than 25% in principal</w:t>
      </w:r>
    </w:p>
    <w:p>
      <w:pPr>
        <w:spacing w:after="0" w:line="7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0800"/>
          </w:cols>
          <w:pgMar w:left="320" w:top="437" w:right="7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6">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6" w:lineRule="exact"/>
        <w:rPr>
          <w:sz w:val="20"/>
          <w:szCs w:val="20"/>
          <w:color w:val="auto"/>
        </w:rPr>
      </w:pPr>
    </w:p>
    <w:p>
      <w:pPr>
        <w:ind w:left="420"/>
        <w:spacing w:after="0" w:line="242" w:lineRule="auto"/>
        <w:rPr>
          <w:sz w:val="20"/>
          <w:szCs w:val="20"/>
          <w:color w:val="auto"/>
        </w:rPr>
      </w:pPr>
      <w:r>
        <w:rPr>
          <w:rFonts w:ascii="Times New Roman" w:cs="Times New Roman" w:eastAsia="Times New Roman" w:hAnsi="Times New Roman"/>
          <w:sz w:val="20"/>
          <w:szCs w:val="20"/>
          <w:color w:val="auto"/>
        </w:rPr>
        <w:t>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69" w:lineRule="exact"/>
        <w:rPr>
          <w:sz w:val="20"/>
          <w:szCs w:val="20"/>
          <w:color w:val="auto"/>
        </w:rPr>
      </w:pPr>
    </w:p>
    <w:p>
      <w:pPr>
        <w:ind w:left="420" w:right="120"/>
        <w:spacing w:after="0" w:line="246" w:lineRule="auto"/>
        <w:rPr>
          <w:sz w:val="20"/>
          <w:szCs w:val="20"/>
          <w:color w:val="auto"/>
        </w:rPr>
      </w:pPr>
      <w:r>
        <w:rPr>
          <w:rFonts w:ascii="Times New Roman" w:cs="Times New Roman" w:eastAsia="Times New Roman" w:hAnsi="Times New Roman"/>
          <w:sz w:val="20"/>
          <w:szCs w:val="20"/>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pacing w:after="0" w:line="165" w:lineRule="exact"/>
        <w:rPr>
          <w:sz w:val="20"/>
          <w:szCs w:val="20"/>
          <w:color w:val="auto"/>
        </w:rPr>
      </w:pPr>
    </w:p>
    <w:p>
      <w:pPr>
        <w:ind w:left="420" w:right="140"/>
        <w:spacing w:after="0" w:line="276" w:lineRule="auto"/>
        <w:rPr>
          <w:sz w:val="20"/>
          <w:szCs w:val="20"/>
          <w:color w:val="auto"/>
        </w:rPr>
      </w:pPr>
      <w:r>
        <w:rPr>
          <w:rFonts w:ascii="Times New Roman" w:cs="Times New Roman" w:eastAsia="Times New Roman" w:hAnsi="Times New Roman"/>
          <w:sz w:val="20"/>
          <w:szCs w:val="20"/>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159" w:lineRule="exact"/>
        <w:rPr>
          <w:sz w:val="20"/>
          <w:szCs w:val="20"/>
          <w:color w:val="auto"/>
        </w:rPr>
      </w:pPr>
    </w:p>
    <w:p>
      <w:pPr>
        <w:ind w:left="1240" w:right="320" w:hanging="404"/>
        <w:spacing w:after="0" w:line="276" w:lineRule="auto"/>
        <w:tabs>
          <w:tab w:leader="none" w:pos="12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holder has previously given to the trustee written notice of a continuing Event of Default with respect to debt securities of that series; and</w:t>
      </w:r>
    </w:p>
    <w:p>
      <w:pPr>
        <w:spacing w:after="0" w:line="158" w:lineRule="exact"/>
        <w:rPr>
          <w:rFonts w:ascii="Times New Roman" w:cs="Times New Roman" w:eastAsia="Times New Roman" w:hAnsi="Times New Roman"/>
          <w:sz w:val="20"/>
          <w:szCs w:val="20"/>
          <w:color w:val="auto"/>
        </w:rPr>
      </w:pPr>
    </w:p>
    <w:p>
      <w:pPr>
        <w:ind w:left="1240" w:right="100" w:hanging="404"/>
        <w:spacing w:after="0" w:line="248" w:lineRule="auto"/>
        <w:tabs>
          <w:tab w:leader="none" w:pos="12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162" w:lineRule="exact"/>
        <w:rPr>
          <w:sz w:val="20"/>
          <w:szCs w:val="20"/>
          <w:color w:val="auto"/>
        </w:rPr>
      </w:pPr>
    </w:p>
    <w:p>
      <w:pPr>
        <w:jc w:val="both"/>
        <w:ind w:left="420" w:right="120"/>
        <w:spacing w:after="0" w:line="257" w:lineRule="auto"/>
        <w:rPr>
          <w:sz w:val="20"/>
          <w:szCs w:val="20"/>
          <w:color w:val="auto"/>
        </w:rPr>
      </w:pPr>
      <w:r>
        <w:rPr>
          <w:rFonts w:ascii="Times New Roman" w:cs="Times New Roman" w:eastAsia="Times New Roman" w:hAnsi="Times New Roman"/>
          <w:sz w:val="20"/>
          <w:szCs w:val="20"/>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w:t>
      </w:r>
    </w:p>
    <w:p>
      <w:pPr>
        <w:spacing w:after="0" w:line="8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0800"/>
          </w:cols>
          <w:pgMar w:left="320" w:top="437" w:right="7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7">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6" w:lineRule="exact"/>
        <w:rPr>
          <w:sz w:val="20"/>
          <w:szCs w:val="20"/>
          <w:color w:val="auto"/>
        </w:rPr>
      </w:pPr>
    </w:p>
    <w:p>
      <w:pPr>
        <w:ind w:left="420"/>
        <w:spacing w:after="0" w:line="244" w:lineRule="auto"/>
        <w:rPr>
          <w:sz w:val="20"/>
          <w:szCs w:val="20"/>
          <w:color w:val="auto"/>
        </w:rPr>
      </w:pPr>
      <w:r>
        <w:rPr>
          <w:rFonts w:ascii="Times New Roman" w:cs="Times New Roman" w:eastAsia="Times New Roman" w:hAnsi="Times New Roman"/>
          <w:sz w:val="20"/>
          <w:szCs w:val="20"/>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2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auto"/>
        </w:rPr>
        <w:t>Modification and Waiver</w:t>
      </w:r>
    </w:p>
    <w:p>
      <w:pPr>
        <w:spacing w:after="0" w:line="105" w:lineRule="exact"/>
        <w:rPr>
          <w:sz w:val="20"/>
          <w:szCs w:val="20"/>
          <w:color w:val="auto"/>
        </w:rPr>
      </w:pPr>
    </w:p>
    <w:p>
      <w:pPr>
        <w:ind w:left="420" w:right="180"/>
        <w:spacing w:after="0" w:line="276" w:lineRule="auto"/>
        <w:rPr>
          <w:sz w:val="20"/>
          <w:szCs w:val="20"/>
          <w:color w:val="auto"/>
        </w:rPr>
      </w:pPr>
      <w:r>
        <w:rPr>
          <w:rFonts w:ascii="Times New Roman" w:cs="Times New Roman" w:eastAsia="Times New Roman" w:hAnsi="Times New Roman"/>
          <w:sz w:val="20"/>
          <w:szCs w:val="20"/>
          <w:color w:val="auto"/>
        </w:rPr>
        <w:t>We and the trustee may modify, amend or supplement the indenture or the debt securities of any series without the consent of any holder of any debt security:</w:t>
      </w:r>
    </w:p>
    <w:p>
      <w:pPr>
        <w:spacing w:after="0" w:line="159" w:lineRule="exact"/>
        <w:rPr>
          <w:sz w:val="20"/>
          <w:szCs w:val="20"/>
          <w:color w:val="auto"/>
        </w:rPr>
      </w:pPr>
    </w:p>
    <w:p>
      <w:pPr>
        <w:ind w:left="1240" w:hanging="404"/>
        <w:spacing w:after="0"/>
        <w:tabs>
          <w:tab w:leader="none" w:pos="12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cure any ambiguity, defect or inconsistency;</w:t>
      </w:r>
    </w:p>
    <w:p>
      <w:pPr>
        <w:spacing w:after="0" w:line="228" w:lineRule="exact"/>
        <w:rPr>
          <w:rFonts w:ascii="Times New Roman" w:cs="Times New Roman" w:eastAsia="Times New Roman" w:hAnsi="Times New Roman"/>
          <w:sz w:val="20"/>
          <w:szCs w:val="20"/>
          <w:color w:val="auto"/>
        </w:rPr>
      </w:pPr>
    </w:p>
    <w:p>
      <w:pPr>
        <w:ind w:left="1240" w:right="300" w:hanging="404"/>
        <w:spacing w:after="0" w:line="276" w:lineRule="auto"/>
        <w:tabs>
          <w:tab w:leader="none" w:pos="12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comply with covenants in the indenture described above under the heading “Consolidation, Merger and Sale of Assets”;</w:t>
      </w:r>
    </w:p>
    <w:p>
      <w:pPr>
        <w:spacing w:after="0" w:line="15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for uncertificated securities in addition to or in place of certificated securities;</w:t>
      </w:r>
    </w:p>
    <w:p>
      <w:pPr>
        <w:spacing w:after="0" w:line="22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add guarantees with respect to debt securities of any series or secure debt securities of any series;</w:t>
      </w:r>
    </w:p>
    <w:p>
      <w:pPr>
        <w:spacing w:after="0" w:line="22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surrender any of our rights or powers under the indenture;</w:t>
      </w:r>
    </w:p>
    <w:p>
      <w:pPr>
        <w:spacing w:after="0" w:line="22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add covenants or events of default for the benefit of the holders of debt securities of any series;</w:t>
      </w:r>
    </w:p>
    <w:p>
      <w:pPr>
        <w:spacing w:after="0" w:line="22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comply with the applicable procedures of the applicable depositary;</w:t>
      </w:r>
    </w:p>
    <w:p>
      <w:pPr>
        <w:spacing w:after="0" w:line="22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make any change that does not adversely affect the rights of any holder of debt securities;</w:t>
      </w:r>
    </w:p>
    <w:p>
      <w:pPr>
        <w:spacing w:after="0" w:line="228" w:lineRule="exact"/>
        <w:rPr>
          <w:rFonts w:ascii="Times New Roman" w:cs="Times New Roman" w:eastAsia="Times New Roman" w:hAnsi="Times New Roman"/>
          <w:sz w:val="20"/>
          <w:szCs w:val="20"/>
          <w:color w:val="auto"/>
        </w:rPr>
      </w:pPr>
    </w:p>
    <w:p>
      <w:pPr>
        <w:ind w:left="1240" w:right="480" w:hanging="404"/>
        <w:spacing w:after="0" w:line="276" w:lineRule="auto"/>
        <w:tabs>
          <w:tab w:leader="none" w:pos="12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for the issuance of and establish the form and terms and conditions of debt securities of any series as permitted by the indenture;</w:t>
      </w:r>
    </w:p>
    <w:p>
      <w:pPr>
        <w:spacing w:after="0" w:line="158" w:lineRule="exact"/>
        <w:rPr>
          <w:rFonts w:ascii="Times New Roman" w:cs="Times New Roman" w:eastAsia="Times New Roman" w:hAnsi="Times New Roman"/>
          <w:sz w:val="20"/>
          <w:szCs w:val="20"/>
          <w:color w:val="auto"/>
        </w:rPr>
      </w:pPr>
    </w:p>
    <w:p>
      <w:pPr>
        <w:ind w:left="1240" w:right="140" w:hanging="404"/>
        <w:spacing w:after="0" w:line="276" w:lineRule="auto"/>
        <w:tabs>
          <w:tab w:leader="none" w:pos="12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158" w:lineRule="exact"/>
        <w:rPr>
          <w:rFonts w:ascii="Times New Roman" w:cs="Times New Roman" w:eastAsia="Times New Roman" w:hAnsi="Times New Roman"/>
          <w:sz w:val="20"/>
          <w:szCs w:val="20"/>
          <w:color w:val="auto"/>
        </w:rPr>
      </w:pPr>
    </w:p>
    <w:p>
      <w:pPr>
        <w:ind w:left="1240" w:right="340" w:hanging="404"/>
        <w:spacing w:after="0" w:line="276" w:lineRule="auto"/>
        <w:tabs>
          <w:tab w:leader="none" w:pos="12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comply with requirements of the SEC in order to effect or maintain the qualification of the indenture under the Trust Indenture Act. (Section 9.1)</w:t>
      </w:r>
    </w:p>
    <w:p>
      <w:pPr>
        <w:spacing w:after="0" w:line="7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0800"/>
          </w:cols>
          <w:pgMar w:left="320" w:top="437" w:right="7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8">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6" w:lineRule="exact"/>
        <w:rPr>
          <w:sz w:val="20"/>
          <w:szCs w:val="20"/>
          <w:color w:val="auto"/>
        </w:rPr>
      </w:pPr>
    </w:p>
    <w:p>
      <w:pPr>
        <w:jc w:val="both"/>
        <w:ind w:left="420" w:right="100"/>
        <w:spacing w:after="0" w:line="257" w:lineRule="auto"/>
        <w:rPr>
          <w:sz w:val="20"/>
          <w:szCs w:val="20"/>
          <w:color w:val="auto"/>
        </w:rPr>
      </w:pPr>
      <w:r>
        <w:rPr>
          <w:rFonts w:ascii="Times New Roman" w:cs="Times New Roman" w:eastAsia="Times New Roman" w:hAnsi="Times New Roman"/>
          <w:sz w:val="20"/>
          <w:szCs w:val="20"/>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178" w:lineRule="exact"/>
        <w:rPr>
          <w:sz w:val="20"/>
          <w:szCs w:val="20"/>
          <w:color w:val="auto"/>
        </w:rPr>
      </w:pPr>
    </w:p>
    <w:p>
      <w:pPr>
        <w:ind w:left="1240" w:hanging="404"/>
        <w:spacing w:after="0"/>
        <w:tabs>
          <w:tab w:leader="none" w:pos="12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amount of debt securities whose holders must consent to an amendment, supplement or waiver;</w:t>
      </w:r>
    </w:p>
    <w:p>
      <w:pPr>
        <w:spacing w:after="0" w:line="22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rate of or extend the time for payment of interest (including default interest) on any debt security;</w:t>
      </w:r>
    </w:p>
    <w:p>
      <w:pPr>
        <w:spacing w:after="0" w:line="228" w:lineRule="exact"/>
        <w:rPr>
          <w:rFonts w:ascii="Times New Roman" w:cs="Times New Roman" w:eastAsia="Times New Roman" w:hAnsi="Times New Roman"/>
          <w:sz w:val="20"/>
          <w:szCs w:val="20"/>
          <w:color w:val="auto"/>
        </w:rPr>
      </w:pPr>
    </w:p>
    <w:p>
      <w:pPr>
        <w:ind w:left="1240" w:right="180" w:hanging="404"/>
        <w:spacing w:after="0" w:line="257" w:lineRule="auto"/>
        <w:tabs>
          <w:tab w:leader="none" w:pos="12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17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principal amount of discount securities payable upon acceleration of maturity;</w:t>
      </w:r>
    </w:p>
    <w:p>
      <w:pPr>
        <w:spacing w:after="0" w:line="228" w:lineRule="exact"/>
        <w:rPr>
          <w:rFonts w:ascii="Times New Roman" w:cs="Times New Roman" w:eastAsia="Times New Roman" w:hAnsi="Times New Roman"/>
          <w:sz w:val="20"/>
          <w:szCs w:val="20"/>
          <w:color w:val="auto"/>
        </w:rPr>
      </w:pPr>
    </w:p>
    <w:p>
      <w:pPr>
        <w:ind w:left="1240" w:right="120" w:hanging="404"/>
        <w:spacing w:after="0" w:line="251" w:lineRule="auto"/>
        <w:tabs>
          <w:tab w:leader="none" w:pos="12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183" w:lineRule="exact"/>
        <w:rPr>
          <w:rFonts w:ascii="Times New Roman" w:cs="Times New Roman" w:eastAsia="Times New Roman" w:hAnsi="Times New Roman"/>
          <w:sz w:val="20"/>
          <w:szCs w:val="20"/>
          <w:color w:val="auto"/>
        </w:rPr>
      </w:pPr>
    </w:p>
    <w:p>
      <w:pPr>
        <w:ind w:left="1240" w:right="340" w:hanging="404"/>
        <w:spacing w:after="0" w:line="276" w:lineRule="auto"/>
        <w:tabs>
          <w:tab w:leader="none" w:pos="12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the principal of or premium or interest on any debt security payable in currency other than that stated in the debt security;</w:t>
      </w:r>
    </w:p>
    <w:p>
      <w:pPr>
        <w:spacing w:after="0" w:line="158" w:lineRule="exact"/>
        <w:rPr>
          <w:rFonts w:ascii="Times New Roman" w:cs="Times New Roman" w:eastAsia="Times New Roman" w:hAnsi="Times New Roman"/>
          <w:sz w:val="20"/>
          <w:szCs w:val="20"/>
          <w:color w:val="auto"/>
        </w:rPr>
      </w:pPr>
    </w:p>
    <w:p>
      <w:pPr>
        <w:ind w:left="1240" w:hanging="404"/>
        <w:spacing w:after="0" w:line="257" w:lineRule="auto"/>
        <w:tabs>
          <w:tab w:leader="none" w:pos="12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17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a redemption payment with respect to any debt security. (Section 9.3)</w:t>
      </w:r>
    </w:p>
    <w:p>
      <w:pPr>
        <w:spacing w:after="0" w:line="203" w:lineRule="exact"/>
        <w:rPr>
          <w:sz w:val="20"/>
          <w:szCs w:val="20"/>
          <w:color w:val="auto"/>
        </w:rPr>
      </w:pPr>
    </w:p>
    <w:p>
      <w:pPr>
        <w:ind w:left="420" w:right="20"/>
        <w:spacing w:after="0" w:line="244" w:lineRule="auto"/>
        <w:rPr>
          <w:sz w:val="20"/>
          <w:szCs w:val="20"/>
          <w:color w:val="auto"/>
        </w:rPr>
      </w:pPr>
      <w:r>
        <w:rPr>
          <w:rFonts w:ascii="Times New Roman" w:cs="Times New Roman" w:eastAsia="Times New Roman" w:hAnsi="Times New Roman"/>
          <w:sz w:val="20"/>
          <w:szCs w:val="20"/>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w:t>
      </w:r>
    </w:p>
    <w:p>
      <w:pPr>
        <w:spacing w:after="0" w:line="33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0820"/>
          </w:cols>
          <w:pgMar w:left="320" w:top="437" w:right="7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9">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auto"/>
        </w:rPr>
        <w:t>Defeasance of Debt Securities and Certain Covenants in Certain Circumstances</w:t>
      </w:r>
    </w:p>
    <w:p>
      <w:pPr>
        <w:spacing w:after="0" w:line="101" w:lineRule="exact"/>
        <w:rPr>
          <w:sz w:val="20"/>
          <w:szCs w:val="20"/>
          <w:color w:val="auto"/>
        </w:rPr>
      </w:pPr>
    </w:p>
    <w:p>
      <w:pPr>
        <w:ind w:left="420" w:right="20"/>
        <w:spacing w:after="0" w:line="244" w:lineRule="auto"/>
        <w:rPr>
          <w:sz w:val="20"/>
          <w:szCs w:val="20"/>
          <w:color w:val="auto"/>
        </w:rPr>
      </w:pPr>
      <w:r>
        <w:rPr>
          <w:rFonts w:ascii="Times New Roman" w:cs="Times New Roman" w:eastAsia="Times New Roman" w:hAnsi="Times New Roman"/>
          <w:sz w:val="20"/>
          <w:szCs w:val="20"/>
          <w:i w:val="1"/>
          <w:iCs w:val="1"/>
          <w:color w:val="auto"/>
        </w:rPr>
        <w:t>Legal Defeasance</w:t>
      </w:r>
      <w:r>
        <w:rPr>
          <w:rFonts w:ascii="Times New Roman" w:cs="Times New Roman" w:eastAsia="Times New Roman" w:hAnsi="Times New Roman"/>
          <w:sz w:val="20"/>
          <w:szCs w:val="20"/>
          <w:color w:val="auto"/>
        </w:rPr>
        <w:t>. The indenture provides that, unless otherwise provided by the terms of the applicable series of debt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66" w:lineRule="exact"/>
        <w:rPr>
          <w:sz w:val="20"/>
          <w:szCs w:val="20"/>
          <w:color w:val="auto"/>
        </w:rPr>
      </w:pPr>
    </w:p>
    <w:p>
      <w:pPr>
        <w:ind w:left="420"/>
        <w:spacing w:after="0" w:line="245" w:lineRule="auto"/>
        <w:rPr>
          <w:sz w:val="20"/>
          <w:szCs w:val="20"/>
          <w:color w:val="auto"/>
        </w:rPr>
      </w:pPr>
      <w:r>
        <w:rPr>
          <w:rFonts w:ascii="Times New Roman" w:cs="Times New Roman" w:eastAsia="Times New Roman" w:hAnsi="Times New Roman"/>
          <w:sz w:val="20"/>
          <w:szCs w:val="20"/>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w:t>
      </w:r>
    </w:p>
    <w:p>
      <w:pPr>
        <w:spacing w:after="0" w:line="161" w:lineRule="exact"/>
        <w:rPr>
          <w:sz w:val="20"/>
          <w:szCs w:val="20"/>
          <w:color w:val="auto"/>
        </w:rPr>
      </w:pPr>
    </w:p>
    <w:p>
      <w:pPr>
        <w:ind w:left="420" w:right="20"/>
        <w:spacing w:after="0" w:line="280" w:lineRule="auto"/>
        <w:rPr>
          <w:sz w:val="20"/>
          <w:szCs w:val="20"/>
          <w:color w:val="auto"/>
        </w:rPr>
      </w:pPr>
      <w:r>
        <w:rPr>
          <w:rFonts w:ascii="Times New Roman" w:cs="Times New Roman" w:eastAsia="Times New Roman" w:hAnsi="Times New Roman"/>
          <w:sz w:val="20"/>
          <w:szCs w:val="20"/>
          <w:i w:val="1"/>
          <w:iCs w:val="1"/>
          <w:color w:val="auto"/>
        </w:rPr>
        <w:t>Defeasance of Certain Covenants</w:t>
      </w:r>
      <w:r>
        <w:rPr>
          <w:rFonts w:ascii="Times New Roman" w:cs="Times New Roman" w:eastAsia="Times New Roman" w:hAnsi="Times New Roman"/>
          <w:sz w:val="20"/>
          <w:szCs w:val="20"/>
          <w:color w:val="auto"/>
        </w:rPr>
        <w:t>. The indenture provides that, unless otherwise provided by the terms of the applicable series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debt securities, upon compliance with certain conditions:</w:t>
      </w:r>
    </w:p>
    <w:p>
      <w:pPr>
        <w:spacing w:after="0" w:line="155" w:lineRule="exact"/>
        <w:rPr>
          <w:sz w:val="20"/>
          <w:szCs w:val="20"/>
          <w:color w:val="auto"/>
        </w:rPr>
      </w:pPr>
    </w:p>
    <w:p>
      <w:pPr>
        <w:jc w:val="both"/>
        <w:ind w:left="1240" w:right="120" w:hanging="404"/>
        <w:spacing w:after="0" w:line="257" w:lineRule="auto"/>
        <w:tabs>
          <w:tab w:leader="none" w:pos="12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178" w:lineRule="exact"/>
        <w:rPr>
          <w:rFonts w:ascii="Times New Roman" w:cs="Times New Roman" w:eastAsia="Times New Roman" w:hAnsi="Times New Roman"/>
          <w:sz w:val="20"/>
          <w:szCs w:val="20"/>
          <w:color w:val="auto"/>
        </w:rPr>
      </w:pPr>
    </w:p>
    <w:p>
      <w:pPr>
        <w:ind w:left="1240" w:right="60" w:hanging="404"/>
        <w:spacing w:after="0" w:line="276" w:lineRule="auto"/>
        <w:tabs>
          <w:tab w:leader="none" w:pos="12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omission to comply with those covenants will not constitute a Default or an Event of Default with respect to the debt securities of that series (“covenant defeasance”).</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The conditions include:</w:t>
      </w:r>
    </w:p>
    <w:p>
      <w:pPr>
        <w:spacing w:after="0" w:line="228" w:lineRule="exact"/>
        <w:rPr>
          <w:sz w:val="20"/>
          <w:szCs w:val="20"/>
          <w:color w:val="auto"/>
        </w:rPr>
      </w:pPr>
    </w:p>
    <w:p>
      <w:pPr>
        <w:ind w:left="1240" w:right="40" w:hanging="404"/>
        <w:spacing w:after="0" w:line="246" w:lineRule="auto"/>
        <w:tabs>
          <w:tab w:leader="none" w:pos="12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w:t>
      </w:r>
    </w:p>
    <w:p>
      <w:pPr>
        <w:spacing w:after="0" w:line="10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0760"/>
          </w:cols>
          <w:pgMar w:left="320" w:top="437" w:right="8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0">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maturity of those payments in accordance with the terms of the indenture and those debt securities; and</w:t>
      </w:r>
    </w:p>
    <w:p>
      <w:pPr>
        <w:spacing w:after="0" w:line="228" w:lineRule="exact"/>
        <w:rPr>
          <w:sz w:val="20"/>
          <w:szCs w:val="20"/>
          <w:color w:val="auto"/>
        </w:rPr>
      </w:pPr>
    </w:p>
    <w:p>
      <w:pPr>
        <w:ind w:left="1240" w:right="20" w:hanging="404"/>
        <w:spacing w:after="0" w:line="248" w:lineRule="auto"/>
        <w:tabs>
          <w:tab w:leader="none" w:pos="12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w:t>
      </w:r>
    </w:p>
    <w:p>
      <w:pPr>
        <w:spacing w:after="0" w:line="2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auto"/>
        </w:rPr>
        <w:t>No Personal Liability of Directors, Officers, Employees or Securityholders</w:t>
      </w:r>
    </w:p>
    <w:p>
      <w:pPr>
        <w:spacing w:after="0" w:line="105" w:lineRule="exact"/>
        <w:rPr>
          <w:sz w:val="20"/>
          <w:szCs w:val="20"/>
          <w:color w:val="auto"/>
        </w:rPr>
      </w:pPr>
    </w:p>
    <w:p>
      <w:pPr>
        <w:ind w:left="420" w:right="160"/>
        <w:spacing w:after="0" w:line="251" w:lineRule="auto"/>
        <w:rPr>
          <w:sz w:val="20"/>
          <w:szCs w:val="20"/>
          <w:color w:val="auto"/>
        </w:rPr>
      </w:pPr>
      <w:r>
        <w:rPr>
          <w:rFonts w:ascii="Times New Roman" w:cs="Times New Roman" w:eastAsia="Times New Roman" w:hAnsi="Times New Roman"/>
          <w:sz w:val="20"/>
          <w:szCs w:val="20"/>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w:t>
      </w:r>
    </w:p>
    <w:p>
      <w:pPr>
        <w:spacing w:after="0" w:line="159" w:lineRule="exact"/>
        <w:rPr>
          <w:sz w:val="20"/>
          <w:szCs w:val="20"/>
          <w:color w:val="auto"/>
        </w:rPr>
      </w:pPr>
    </w:p>
    <w:p>
      <w:pPr>
        <w:ind w:left="420" w:right="120"/>
        <w:spacing w:after="0" w:line="276" w:lineRule="auto"/>
        <w:rPr>
          <w:sz w:val="20"/>
          <w:szCs w:val="20"/>
          <w:color w:val="auto"/>
        </w:rPr>
      </w:pPr>
      <w:r>
        <w:rPr>
          <w:rFonts w:ascii="Times New Roman" w:cs="Times New Roman" w:eastAsia="Times New Roman" w:hAnsi="Times New Roman"/>
          <w:sz w:val="20"/>
          <w:szCs w:val="20"/>
          <w:color w:val="auto"/>
        </w:rPr>
        <w:t>However, this waiver and release may not be effective to waive liabilities under U.S. federal securities laws, and it is the view of the SEC that such a waiver is against public policy.</w:t>
      </w:r>
    </w:p>
    <w:p>
      <w:pPr>
        <w:spacing w:after="0" w:line="2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auto"/>
        </w:rPr>
        <w:t>Governing Law</w:t>
      </w:r>
    </w:p>
    <w:p>
      <w:pPr>
        <w:spacing w:after="0" w:line="105" w:lineRule="exact"/>
        <w:rPr>
          <w:sz w:val="20"/>
          <w:szCs w:val="20"/>
          <w:color w:val="auto"/>
        </w:rPr>
      </w:pPr>
    </w:p>
    <w:p>
      <w:pPr>
        <w:ind w:left="420" w:right="540"/>
        <w:spacing w:after="0" w:line="276" w:lineRule="auto"/>
        <w:rPr>
          <w:sz w:val="20"/>
          <w:szCs w:val="20"/>
          <w:color w:val="auto"/>
        </w:rPr>
      </w:pPr>
      <w:r>
        <w:rPr>
          <w:rFonts w:ascii="Times New Roman" w:cs="Times New Roman" w:eastAsia="Times New Roman" w:hAnsi="Times New Roman"/>
          <w:sz w:val="20"/>
          <w:szCs w:val="20"/>
          <w:color w:val="auto"/>
        </w:rPr>
        <w:t>The indenture and the debt securities, including any claim or controversy arising out of or relating to the indenture or the securities, will be governed by the laws of the State of New York.</w:t>
      </w:r>
    </w:p>
    <w:p>
      <w:pPr>
        <w:spacing w:after="0" w:line="133" w:lineRule="exact"/>
        <w:rPr>
          <w:sz w:val="20"/>
          <w:szCs w:val="20"/>
          <w:color w:val="auto"/>
        </w:rPr>
      </w:pPr>
    </w:p>
    <w:p>
      <w:pPr>
        <w:ind w:left="420" w:right="60"/>
        <w:spacing w:after="0" w:line="257" w:lineRule="auto"/>
        <w:rPr>
          <w:sz w:val="20"/>
          <w:szCs w:val="20"/>
          <w:color w:val="auto"/>
        </w:rPr>
      </w:pPr>
      <w:r>
        <w:rPr>
          <w:rFonts w:ascii="Times New Roman" w:cs="Times New Roman" w:eastAsia="Times New Roman" w:hAnsi="Times New Roman"/>
          <w:sz w:val="20"/>
          <w:szCs w:val="20"/>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53" w:lineRule="exact"/>
        <w:rPr>
          <w:sz w:val="20"/>
          <w:szCs w:val="20"/>
          <w:color w:val="auto"/>
        </w:rPr>
      </w:pPr>
    </w:p>
    <w:p>
      <w:pPr>
        <w:ind w:left="420"/>
        <w:spacing w:after="0" w:line="242" w:lineRule="auto"/>
        <w:rPr>
          <w:sz w:val="20"/>
          <w:szCs w:val="20"/>
          <w:color w:val="auto"/>
        </w:rPr>
      </w:pPr>
      <w:r>
        <w:rPr>
          <w:rFonts w:ascii="Times New Roman" w:cs="Times New Roman" w:eastAsia="Times New Roman" w:hAnsi="Times New Roman"/>
          <w:sz w:val="20"/>
          <w:szCs w:val="20"/>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pacing w:after="0" w:line="11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0800"/>
          </w:cols>
          <w:pgMar w:left="320" w:top="437" w:right="7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1">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b w:val="1"/>
          <w:bCs w:val="1"/>
          <w:color w:val="auto"/>
        </w:rPr>
        <w:t>DESCRIPTION OF WARRANTS</w:t>
      </w:r>
    </w:p>
    <w:p>
      <w:pPr>
        <w:spacing w:after="0" w:line="207" w:lineRule="exact"/>
        <w:rPr>
          <w:sz w:val="20"/>
          <w:szCs w:val="20"/>
          <w:color w:val="auto"/>
        </w:rPr>
      </w:pPr>
    </w:p>
    <w:p>
      <w:pPr>
        <w:ind w:left="420"/>
        <w:spacing w:after="0" w:line="244" w:lineRule="auto"/>
        <w:rPr>
          <w:sz w:val="20"/>
          <w:szCs w:val="20"/>
          <w:color w:val="auto"/>
        </w:rPr>
      </w:pPr>
      <w:r>
        <w:rPr>
          <w:rFonts w:ascii="Times New Roman" w:cs="Times New Roman" w:eastAsia="Times New Roman" w:hAnsi="Times New Roman"/>
          <w:sz w:val="20"/>
          <w:szCs w:val="20"/>
          <w:color w:val="auto"/>
        </w:rPr>
        <w:t>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167" w:lineRule="exact"/>
        <w:rPr>
          <w:sz w:val="20"/>
          <w:szCs w:val="20"/>
          <w:color w:val="auto"/>
        </w:rPr>
      </w:pPr>
    </w:p>
    <w:p>
      <w:pPr>
        <w:ind w:left="420" w:right="120"/>
        <w:spacing w:after="0" w:line="276" w:lineRule="auto"/>
        <w:rPr>
          <w:sz w:val="20"/>
          <w:szCs w:val="20"/>
          <w:color w:val="auto"/>
        </w:rPr>
      </w:pPr>
      <w:r>
        <w:rPr>
          <w:rFonts w:ascii="Times New Roman" w:cs="Times New Roman" w:eastAsia="Times New Roman" w:hAnsi="Times New Roman"/>
          <w:sz w:val="20"/>
          <w:szCs w:val="20"/>
          <w:color w:val="auto"/>
        </w:rPr>
        <w:t>The particular terms of any issue of warrants will be described in the prospectus supplement relating to the issue. Those terms may include:</w:t>
      </w:r>
    </w:p>
    <w:p>
      <w:pPr>
        <w:spacing w:after="0" w:line="159" w:lineRule="exact"/>
        <w:rPr>
          <w:sz w:val="20"/>
          <w:szCs w:val="20"/>
          <w:color w:val="auto"/>
        </w:rPr>
      </w:pPr>
    </w:p>
    <w:p>
      <w:pPr>
        <w:ind w:left="1240" w:hanging="404"/>
        <w:spacing w:after="0" w:line="276" w:lineRule="auto"/>
        <w:tabs>
          <w:tab w:leader="none" w:pos="12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shares of common stock or preferred stock purchasable upon the exercise of warrants to purchase such shares and the price at which such number of shares may be purchased upon such exercise;</w:t>
      </w:r>
    </w:p>
    <w:p>
      <w:pPr>
        <w:spacing w:after="0" w:line="158" w:lineRule="exact"/>
        <w:rPr>
          <w:rFonts w:ascii="Times New Roman" w:cs="Times New Roman" w:eastAsia="Times New Roman" w:hAnsi="Times New Roman"/>
          <w:sz w:val="20"/>
          <w:szCs w:val="20"/>
          <w:color w:val="auto"/>
        </w:rPr>
      </w:pPr>
    </w:p>
    <w:p>
      <w:pPr>
        <w:ind w:left="1240" w:right="220" w:hanging="404"/>
        <w:spacing w:after="0" w:line="276" w:lineRule="auto"/>
        <w:tabs>
          <w:tab w:leader="none" w:pos="12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designation, stated value and terms (including, without limitation, liquidation, dividend, conversion and voting rights) of the series of preferred stock purchasable upon exercise of warrants to purchase preferred stock;</w:t>
      </w:r>
    </w:p>
    <w:p>
      <w:pPr>
        <w:spacing w:after="0" w:line="158" w:lineRule="exact"/>
        <w:rPr>
          <w:rFonts w:ascii="Times New Roman" w:cs="Times New Roman" w:eastAsia="Times New Roman" w:hAnsi="Times New Roman"/>
          <w:sz w:val="20"/>
          <w:szCs w:val="20"/>
          <w:color w:val="auto"/>
        </w:rPr>
      </w:pPr>
    </w:p>
    <w:p>
      <w:pPr>
        <w:ind w:left="1240" w:right="120" w:hanging="404"/>
        <w:spacing w:after="0" w:line="276" w:lineRule="auto"/>
        <w:tabs>
          <w:tab w:leader="none" w:pos="12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amount of debt securities that may be purchased upon exercise of a debt warrant and the exercise price for the warrants, which may be payable in cash, securities or other property;</w:t>
      </w:r>
    </w:p>
    <w:p>
      <w:pPr>
        <w:spacing w:after="0" w:line="158" w:lineRule="exact"/>
        <w:rPr>
          <w:rFonts w:ascii="Times New Roman" w:cs="Times New Roman" w:eastAsia="Times New Roman" w:hAnsi="Times New Roman"/>
          <w:sz w:val="20"/>
          <w:szCs w:val="20"/>
          <w:color w:val="auto"/>
        </w:rPr>
      </w:pPr>
    </w:p>
    <w:p>
      <w:pPr>
        <w:ind w:left="1240" w:right="40" w:hanging="404"/>
        <w:spacing w:after="0" w:line="276" w:lineRule="auto"/>
        <w:tabs>
          <w:tab w:leader="none" w:pos="12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if any, on and after which the warrants and the related debt securities, preferred stock or common stock will be separately transferable;</w:t>
      </w:r>
    </w:p>
    <w:p>
      <w:pPr>
        <w:spacing w:after="0" w:line="15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of any rights to redeem or call the warrants;</w:t>
      </w:r>
    </w:p>
    <w:p>
      <w:pPr>
        <w:spacing w:after="0" w:line="22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on which the right to exercise the warrants will commence and the date on which the right will expire;</w:t>
      </w:r>
    </w:p>
    <w:p>
      <w:pPr>
        <w:spacing w:after="0" w:line="22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United States Federal income tax consequences applicable to the warrants; and</w:t>
      </w:r>
    </w:p>
    <w:p>
      <w:pPr>
        <w:spacing w:after="0" w:line="228" w:lineRule="exact"/>
        <w:rPr>
          <w:rFonts w:ascii="Times New Roman" w:cs="Times New Roman" w:eastAsia="Times New Roman" w:hAnsi="Times New Roman"/>
          <w:sz w:val="20"/>
          <w:szCs w:val="20"/>
          <w:color w:val="auto"/>
        </w:rPr>
      </w:pPr>
    </w:p>
    <w:p>
      <w:pPr>
        <w:ind w:left="1240" w:right="160" w:hanging="404"/>
        <w:spacing w:after="0" w:line="276" w:lineRule="auto"/>
        <w:tabs>
          <w:tab w:leader="none" w:pos="12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additional terms of the warrants, including terms, procedures, and limitations relating to the exchange, exercise and settlement of the warrants.</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Holders of equity warrants will not be entitled:</w:t>
      </w:r>
    </w:p>
    <w:p>
      <w:pPr>
        <w:spacing w:after="0" w:line="228" w:lineRule="exact"/>
        <w:rPr>
          <w:sz w:val="20"/>
          <w:szCs w:val="20"/>
          <w:color w:val="auto"/>
        </w:rPr>
      </w:pPr>
    </w:p>
    <w:p>
      <w:pPr>
        <w:ind w:left="1240" w:hanging="404"/>
        <w:spacing w:after="0"/>
        <w:tabs>
          <w:tab w:leader="none" w:pos="12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vote, consent or receive dividends;</w:t>
      </w:r>
    </w:p>
    <w:p>
      <w:pPr>
        <w:spacing w:after="0" w:line="13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0800"/>
          </w:cols>
          <w:pgMar w:left="320" w:top="437" w:right="7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2">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6" w:lineRule="exact"/>
        <w:rPr>
          <w:sz w:val="20"/>
          <w:szCs w:val="20"/>
          <w:color w:val="auto"/>
        </w:rPr>
      </w:pPr>
    </w:p>
    <w:p>
      <w:pPr>
        <w:ind w:left="1240" w:right="120" w:hanging="404"/>
        <w:spacing w:after="0" w:line="276" w:lineRule="auto"/>
        <w:tabs>
          <w:tab w:leader="none" w:pos="12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receive notice as stockholders with respect to any meeting of stockholders for the election of our directors or any other matter; or</w:t>
      </w:r>
    </w:p>
    <w:p>
      <w:pPr>
        <w:spacing w:after="0" w:line="15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exercise any rights as stockholders of T2 Biosystems.</w:t>
      </w:r>
    </w:p>
    <w:p>
      <w:pPr>
        <w:spacing w:after="0" w:line="203" w:lineRule="exact"/>
        <w:rPr>
          <w:sz w:val="20"/>
          <w:szCs w:val="20"/>
          <w:color w:val="auto"/>
        </w:rPr>
      </w:pPr>
    </w:p>
    <w:p>
      <w:pPr>
        <w:ind w:left="420"/>
        <w:spacing w:after="0" w:line="248" w:lineRule="auto"/>
        <w:rPr>
          <w:sz w:val="20"/>
          <w:szCs w:val="20"/>
          <w:color w:val="auto"/>
        </w:rPr>
      </w:pPr>
      <w:r>
        <w:rPr>
          <w:rFonts w:ascii="Times New Roman" w:cs="Times New Roman" w:eastAsia="Times New Roman" w:hAnsi="Times New Roman"/>
          <w:sz w:val="20"/>
          <w:szCs w:val="20"/>
          <w:color w:val="auto"/>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62" w:lineRule="exact"/>
        <w:rPr>
          <w:sz w:val="20"/>
          <w:szCs w:val="20"/>
          <w:color w:val="auto"/>
        </w:rPr>
      </w:pPr>
    </w:p>
    <w:p>
      <w:pPr>
        <w:ind w:left="420" w:right="100"/>
        <w:spacing w:after="0" w:line="244" w:lineRule="auto"/>
        <w:rPr>
          <w:sz w:val="20"/>
          <w:szCs w:val="20"/>
          <w:color w:val="auto"/>
        </w:rPr>
      </w:pPr>
      <w:r>
        <w:rPr>
          <w:rFonts w:ascii="Times New Roman" w:cs="Times New Roman" w:eastAsia="Times New Roman" w:hAnsi="Times New Roman"/>
          <w:sz w:val="20"/>
          <w:szCs w:val="20"/>
          <w:color w:val="auto"/>
        </w:rPr>
        <w:t>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spacing w:after="0" w:line="10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0780"/>
          </w:cols>
          <w:pgMar w:left="320" w:top="437" w:right="7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3">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0"/>
          <w:szCs w:val="20"/>
          <w:b w:val="1"/>
          <w:bCs w:val="1"/>
          <w:color w:val="auto"/>
        </w:rPr>
        <w:t>DESCRIPTION OF UNITS</w:t>
      </w:r>
    </w:p>
    <w:p>
      <w:pPr>
        <w:spacing w:after="0" w:line="207" w:lineRule="exact"/>
        <w:rPr>
          <w:sz w:val="20"/>
          <w:szCs w:val="20"/>
          <w:color w:val="auto"/>
        </w:rPr>
      </w:pPr>
    </w:p>
    <w:p>
      <w:pPr>
        <w:ind w:left="420" w:right="100"/>
        <w:spacing w:after="0" w:line="251" w:lineRule="auto"/>
        <w:rPr>
          <w:sz w:val="20"/>
          <w:szCs w:val="20"/>
          <w:color w:val="auto"/>
        </w:rPr>
      </w:pPr>
      <w:r>
        <w:rPr>
          <w:rFonts w:ascii="Times New Roman" w:cs="Times New Roman" w:eastAsia="Times New Roman" w:hAnsi="Times New Roman"/>
          <w:sz w:val="20"/>
          <w:szCs w:val="20"/>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59" w:lineRule="exact"/>
        <w:rPr>
          <w:sz w:val="20"/>
          <w:szCs w:val="20"/>
          <w:color w:val="auto"/>
        </w:rPr>
      </w:pPr>
    </w:p>
    <w:p>
      <w:pPr>
        <w:ind w:left="420"/>
        <w:spacing w:after="0" w:line="245" w:lineRule="auto"/>
        <w:rPr>
          <w:sz w:val="20"/>
          <w:szCs w:val="20"/>
          <w:color w:val="auto"/>
        </w:rPr>
      </w:pPr>
      <w:r>
        <w:rPr>
          <w:rFonts w:ascii="Times New Roman" w:cs="Times New Roman" w:eastAsia="Times New Roman" w:hAnsi="Times New Roman"/>
          <w:sz w:val="20"/>
          <w:szCs w:val="20"/>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65" w:lineRule="exact"/>
        <w:rPr>
          <w:sz w:val="20"/>
          <w:szCs w:val="20"/>
          <w:color w:val="auto"/>
        </w:rPr>
      </w:pPr>
    </w:p>
    <w:p>
      <w:pPr>
        <w:ind w:left="420" w:right="100"/>
        <w:spacing w:after="0" w:line="276" w:lineRule="auto"/>
        <w:rPr>
          <w:sz w:val="20"/>
          <w:szCs w:val="20"/>
          <w:color w:val="auto"/>
        </w:rPr>
      </w:pPr>
      <w:r>
        <w:rPr>
          <w:rFonts w:ascii="Times New Roman" w:cs="Times New Roman" w:eastAsia="Times New Roman" w:hAnsi="Times New Roman"/>
          <w:sz w:val="20"/>
          <w:szCs w:val="20"/>
          <w:color w:val="auto"/>
        </w:rPr>
        <w:t>If we offer any units, certain terms of that series of units will be described in the applicable prospectus supplement, including, without limitation, the following, as applicable:</w:t>
      </w:r>
    </w:p>
    <w:p>
      <w:pPr>
        <w:spacing w:after="0" w:line="159" w:lineRule="exact"/>
        <w:rPr>
          <w:sz w:val="20"/>
          <w:szCs w:val="20"/>
          <w:color w:val="auto"/>
        </w:rPr>
      </w:pPr>
    </w:p>
    <w:p>
      <w:pPr>
        <w:ind w:left="1240" w:hanging="404"/>
        <w:spacing w:after="0"/>
        <w:tabs>
          <w:tab w:leader="none" w:pos="12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title of the series of units;</w:t>
      </w:r>
    </w:p>
    <w:p>
      <w:pPr>
        <w:spacing w:after="0" w:line="22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identification and description of the separate constituent securities comprising the units;</w:t>
      </w:r>
    </w:p>
    <w:p>
      <w:pPr>
        <w:spacing w:after="0" w:line="22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price or prices at which the units will be issued;</w:t>
      </w:r>
    </w:p>
    <w:p>
      <w:pPr>
        <w:spacing w:after="0" w:line="22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if any, on and after which the constituent securities comprising the units will be separately transferable;</w:t>
      </w:r>
    </w:p>
    <w:p>
      <w:pPr>
        <w:spacing w:after="0" w:line="22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discussion of certain United States federal income tax considerations applicable to the units; and</w:t>
      </w:r>
    </w:p>
    <w:p>
      <w:pPr>
        <w:spacing w:after="0" w:line="22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terms of the units and their constituent securities.</w:t>
      </w:r>
    </w:p>
    <w:p>
      <w:pPr>
        <w:spacing w:after="0" w:line="13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0780"/>
          </w:cols>
          <w:pgMar w:left="320" w:top="437" w:right="7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4">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GLOBAL SECURITIES</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auto"/>
        </w:rPr>
        <w:t>Book-Entry, Delivery and Form</w:t>
      </w:r>
    </w:p>
    <w:p>
      <w:pPr>
        <w:spacing w:after="0" w:line="105" w:lineRule="exact"/>
        <w:rPr>
          <w:sz w:val="20"/>
          <w:szCs w:val="20"/>
          <w:color w:val="auto"/>
        </w:rPr>
      </w:pPr>
    </w:p>
    <w:p>
      <w:pPr>
        <w:ind w:left="420"/>
        <w:spacing w:after="0" w:line="245" w:lineRule="auto"/>
        <w:rPr>
          <w:sz w:val="20"/>
          <w:szCs w:val="20"/>
          <w:color w:val="auto"/>
        </w:rPr>
      </w:pPr>
      <w:r>
        <w:rPr>
          <w:rFonts w:ascii="Times New Roman" w:cs="Times New Roman" w:eastAsia="Times New Roman" w:hAnsi="Times New Roman"/>
          <w:sz w:val="20"/>
          <w:szCs w:val="20"/>
          <w:color w:val="auto"/>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DTC has advised us that it is:</w:t>
      </w:r>
    </w:p>
    <w:p>
      <w:pPr>
        <w:spacing w:after="0" w:line="228" w:lineRule="exact"/>
        <w:rPr>
          <w:sz w:val="20"/>
          <w:szCs w:val="20"/>
          <w:color w:val="auto"/>
        </w:rPr>
      </w:pPr>
    </w:p>
    <w:p>
      <w:pPr>
        <w:ind w:left="1240" w:hanging="404"/>
        <w:spacing w:after="0"/>
        <w:tabs>
          <w:tab w:leader="none" w:pos="12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limited-purpose trust company organized under the New York Banking Law;</w:t>
      </w:r>
    </w:p>
    <w:p>
      <w:pPr>
        <w:spacing w:after="0" w:line="22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“banking organization” within the meaning of the New York Banking Law;</w:t>
      </w:r>
    </w:p>
    <w:p>
      <w:pPr>
        <w:spacing w:after="0" w:line="22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member of the Federal Reserve System;</w:t>
      </w:r>
    </w:p>
    <w:p>
      <w:pPr>
        <w:spacing w:after="0" w:line="22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“clearing corporation” within the meaning of the New York Uniform Commercial Code; and</w:t>
      </w:r>
    </w:p>
    <w:p>
      <w:pPr>
        <w:spacing w:after="0" w:line="22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“clearing agency” registered pursuant to the provisions of Section 17A of the Exchange Act.</w:t>
      </w:r>
    </w:p>
    <w:p>
      <w:pPr>
        <w:spacing w:after="0" w:line="203" w:lineRule="exact"/>
        <w:rPr>
          <w:sz w:val="20"/>
          <w:szCs w:val="20"/>
          <w:color w:val="auto"/>
        </w:rPr>
      </w:pPr>
    </w:p>
    <w:p>
      <w:pPr>
        <w:ind w:left="420" w:right="20"/>
        <w:spacing w:after="0" w:line="243" w:lineRule="auto"/>
        <w:rPr>
          <w:sz w:val="20"/>
          <w:szCs w:val="20"/>
          <w:color w:val="auto"/>
        </w:rPr>
      </w:pPr>
      <w:r>
        <w:rPr>
          <w:rFonts w:ascii="Times New Roman" w:cs="Times New Roman" w:eastAsia="Times New Roman" w:hAnsi="Times New Roman"/>
          <w:sz w:val="20"/>
          <w:szCs w:val="20"/>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 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67" w:lineRule="exact"/>
        <w:rPr>
          <w:sz w:val="20"/>
          <w:szCs w:val="20"/>
          <w:color w:val="auto"/>
        </w:rPr>
      </w:pPr>
    </w:p>
    <w:p>
      <w:pPr>
        <w:ind w:left="420" w:right="40"/>
        <w:spacing w:after="0" w:line="257" w:lineRule="auto"/>
        <w:rPr>
          <w:sz w:val="20"/>
          <w:szCs w:val="20"/>
          <w:color w:val="auto"/>
        </w:rPr>
      </w:pPr>
      <w:r>
        <w:rPr>
          <w:rFonts w:ascii="Times New Roman" w:cs="Times New Roman" w:eastAsia="Times New Roman" w:hAnsi="Times New Roman"/>
          <w:sz w:val="20"/>
          <w:szCs w:val="20"/>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w:t>
      </w:r>
    </w:p>
    <w:p>
      <w:pPr>
        <w:spacing w:after="0" w:line="8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0760"/>
          </w:cols>
          <w:pgMar w:left="320" w:top="437" w:right="8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5">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6" w:lineRule="exact"/>
        <w:rPr>
          <w:sz w:val="20"/>
          <w:szCs w:val="20"/>
          <w:color w:val="auto"/>
        </w:rPr>
      </w:pPr>
    </w:p>
    <w:p>
      <w:pPr>
        <w:ind w:left="420" w:right="60"/>
        <w:spacing w:after="0" w:line="246" w:lineRule="auto"/>
        <w:rPr>
          <w:sz w:val="20"/>
          <w:szCs w:val="20"/>
          <w:color w:val="auto"/>
        </w:rPr>
      </w:pPr>
      <w:r>
        <w:rPr>
          <w:rFonts w:ascii="Times New Roman" w:cs="Times New Roman" w:eastAsia="Times New Roman" w:hAnsi="Times New Roman"/>
          <w:sz w:val="20"/>
          <w:szCs w:val="20"/>
          <w:color w:val="auto"/>
        </w:rPr>
        <w:t>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65" w:lineRule="exact"/>
        <w:rPr>
          <w:sz w:val="20"/>
          <w:szCs w:val="20"/>
          <w:color w:val="auto"/>
        </w:rPr>
      </w:pPr>
    </w:p>
    <w:p>
      <w:pPr>
        <w:ind w:left="420" w:right="40"/>
        <w:spacing w:after="0" w:line="246" w:lineRule="auto"/>
        <w:rPr>
          <w:sz w:val="20"/>
          <w:szCs w:val="20"/>
          <w:color w:val="auto"/>
        </w:rPr>
      </w:pPr>
      <w:r>
        <w:rPr>
          <w:rFonts w:ascii="Times New Roman" w:cs="Times New Roman" w:eastAsia="Times New Roman" w:hAnsi="Times New Roman"/>
          <w:sz w:val="20"/>
          <w:szCs w:val="20"/>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165" w:lineRule="exact"/>
        <w:rPr>
          <w:sz w:val="20"/>
          <w:szCs w:val="20"/>
          <w:color w:val="auto"/>
        </w:rPr>
      </w:pPr>
    </w:p>
    <w:p>
      <w:pPr>
        <w:ind w:left="420"/>
        <w:spacing w:after="0" w:line="249" w:lineRule="auto"/>
        <w:rPr>
          <w:sz w:val="20"/>
          <w:szCs w:val="20"/>
          <w:color w:val="auto"/>
        </w:rPr>
      </w:pPr>
      <w:r>
        <w:rPr>
          <w:rFonts w:ascii="Times New Roman" w:cs="Times New Roman" w:eastAsia="Times New Roman" w:hAnsi="Times New Roman"/>
          <w:sz w:val="20"/>
          <w:szCs w:val="20"/>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395" w:lineRule="exact"/>
        <w:rPr>
          <w:sz w:val="20"/>
          <w:szCs w:val="20"/>
          <w:color w:val="auto"/>
        </w:rPr>
      </w:pPr>
    </w:p>
    <w:p>
      <w:pPr>
        <w:ind w:left="420" w:right="20"/>
        <w:spacing w:after="0" w:line="257" w:lineRule="auto"/>
        <w:rPr>
          <w:sz w:val="20"/>
          <w:szCs w:val="20"/>
          <w:color w:val="auto"/>
        </w:rPr>
      </w:pPr>
      <w:r>
        <w:rPr>
          <w:rFonts w:ascii="Times New Roman" w:cs="Times New Roman" w:eastAsia="Times New Roman" w:hAnsi="Times New Roman"/>
          <w:sz w:val="20"/>
          <w:szCs w:val="20"/>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53" w:lineRule="exact"/>
        <w:rPr>
          <w:sz w:val="20"/>
          <w:szCs w:val="20"/>
          <w:color w:val="auto"/>
        </w:rPr>
      </w:pPr>
    </w:p>
    <w:p>
      <w:pPr>
        <w:ind w:left="420" w:right="500"/>
        <w:spacing w:after="0" w:line="257" w:lineRule="auto"/>
        <w:rPr>
          <w:sz w:val="20"/>
          <w:szCs w:val="20"/>
          <w:color w:val="auto"/>
        </w:rPr>
      </w:pPr>
      <w:r>
        <w:rPr>
          <w:rFonts w:ascii="Times New Roman" w:cs="Times New Roman" w:eastAsia="Times New Roman" w:hAnsi="Times New Roman"/>
          <w:sz w:val="20"/>
          <w:szCs w:val="20"/>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53" w:lineRule="exact"/>
        <w:rPr>
          <w:sz w:val="20"/>
          <w:szCs w:val="20"/>
          <w:color w:val="auto"/>
        </w:rPr>
      </w:pPr>
    </w:p>
    <w:p>
      <w:pPr>
        <w:ind w:left="420" w:right="120"/>
        <w:spacing w:after="0" w:line="251" w:lineRule="auto"/>
        <w:rPr>
          <w:sz w:val="20"/>
          <w:szCs w:val="20"/>
          <w:color w:val="auto"/>
        </w:rPr>
      </w:pPr>
      <w:r>
        <w:rPr>
          <w:rFonts w:ascii="Times New Roman" w:cs="Times New Roman" w:eastAsia="Times New Roman" w:hAnsi="Times New Roman"/>
          <w:sz w:val="20"/>
          <w:szCs w:val="20"/>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59" w:lineRule="exact"/>
        <w:rPr>
          <w:sz w:val="20"/>
          <w:szCs w:val="20"/>
          <w:color w:val="auto"/>
        </w:rPr>
      </w:pPr>
    </w:p>
    <w:p>
      <w:pPr>
        <w:ind w:left="420" w:right="20"/>
        <w:spacing w:after="0" w:line="257" w:lineRule="auto"/>
        <w:rPr>
          <w:sz w:val="20"/>
          <w:szCs w:val="20"/>
          <w:color w:val="auto"/>
        </w:rPr>
      </w:pPr>
      <w:r>
        <w:rPr>
          <w:rFonts w:ascii="Times New Roman" w:cs="Times New Roman" w:eastAsia="Times New Roman" w:hAnsi="Times New Roman"/>
          <w:sz w:val="20"/>
          <w:szCs w:val="20"/>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w:t>
      </w:r>
    </w:p>
    <w:p>
      <w:pPr>
        <w:spacing w:after="0" w:line="8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0800"/>
          </w:cols>
          <w:pgMar w:left="320" w:top="437" w:right="7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6">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6" w:lineRule="exact"/>
        <w:rPr>
          <w:sz w:val="20"/>
          <w:szCs w:val="20"/>
          <w:color w:val="auto"/>
        </w:rPr>
      </w:pPr>
    </w:p>
    <w:p>
      <w:pPr>
        <w:ind w:left="420" w:right="140"/>
        <w:spacing w:after="0" w:line="251" w:lineRule="auto"/>
        <w:rPr>
          <w:sz w:val="20"/>
          <w:szCs w:val="20"/>
          <w:color w:val="auto"/>
        </w:rPr>
      </w:pPr>
      <w:r>
        <w:rPr>
          <w:rFonts w:ascii="Times New Roman" w:cs="Times New Roman" w:eastAsia="Times New Roman" w:hAnsi="Times New Roman"/>
          <w:sz w:val="20"/>
          <w:szCs w:val="20"/>
          <w:color w:val="auto"/>
        </w:rPr>
        <w:t>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59" w:lineRule="exact"/>
        <w:rPr>
          <w:sz w:val="20"/>
          <w:szCs w:val="20"/>
          <w:color w:val="auto"/>
        </w:rPr>
      </w:pPr>
    </w:p>
    <w:p>
      <w:pPr>
        <w:ind w:left="420" w:right="120"/>
        <w:spacing w:after="0" w:line="243" w:lineRule="auto"/>
        <w:rPr>
          <w:sz w:val="20"/>
          <w:szCs w:val="20"/>
          <w:color w:val="auto"/>
        </w:rPr>
      </w:pPr>
      <w:r>
        <w:rPr>
          <w:rFonts w:ascii="Times New Roman" w:cs="Times New Roman" w:eastAsia="Times New Roman" w:hAnsi="Times New Roman"/>
          <w:sz w:val="20"/>
          <w:szCs w:val="20"/>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67" w:lineRule="exact"/>
        <w:rPr>
          <w:sz w:val="20"/>
          <w:szCs w:val="20"/>
          <w:color w:val="auto"/>
        </w:rPr>
      </w:pPr>
    </w:p>
    <w:p>
      <w:pPr>
        <w:ind w:left="420" w:right="160"/>
        <w:spacing w:after="0" w:line="257" w:lineRule="auto"/>
        <w:rPr>
          <w:sz w:val="20"/>
          <w:szCs w:val="20"/>
          <w:color w:val="auto"/>
        </w:rPr>
      </w:pPr>
      <w:r>
        <w:rPr>
          <w:rFonts w:ascii="Times New Roman" w:cs="Times New Roman" w:eastAsia="Times New Roman" w:hAnsi="Times New Roman"/>
          <w:sz w:val="20"/>
          <w:szCs w:val="20"/>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53" w:lineRule="exact"/>
        <w:rPr>
          <w:sz w:val="20"/>
          <w:szCs w:val="20"/>
          <w:color w:val="auto"/>
        </w:rPr>
      </w:pPr>
    </w:p>
    <w:p>
      <w:pPr>
        <w:ind w:left="420" w:right="140"/>
        <w:spacing w:after="0" w:line="276" w:lineRule="auto"/>
        <w:rPr>
          <w:sz w:val="20"/>
          <w:szCs w:val="20"/>
          <w:color w:val="auto"/>
        </w:rPr>
      </w:pPr>
      <w:r>
        <w:rPr>
          <w:rFonts w:ascii="Times New Roman" w:cs="Times New Roman" w:eastAsia="Times New Roman" w:hAnsi="Times New Roman"/>
          <w:sz w:val="20"/>
          <w:szCs w:val="20"/>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33" w:lineRule="exact"/>
        <w:rPr>
          <w:sz w:val="20"/>
          <w:szCs w:val="20"/>
          <w:color w:val="auto"/>
        </w:rPr>
      </w:pPr>
    </w:p>
    <w:p>
      <w:pPr>
        <w:ind w:left="420" w:right="700"/>
        <w:spacing w:after="0" w:line="257" w:lineRule="auto"/>
        <w:rPr>
          <w:sz w:val="20"/>
          <w:szCs w:val="20"/>
          <w:color w:val="auto"/>
        </w:rPr>
      </w:pPr>
      <w:r>
        <w:rPr>
          <w:rFonts w:ascii="Times New Roman" w:cs="Times New Roman" w:eastAsia="Times New Roman" w:hAnsi="Times New Roman"/>
          <w:sz w:val="20"/>
          <w:szCs w:val="20"/>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153" w:lineRule="exact"/>
        <w:rPr>
          <w:sz w:val="20"/>
          <w:szCs w:val="20"/>
          <w:color w:val="auto"/>
        </w:rPr>
      </w:pPr>
    </w:p>
    <w:p>
      <w:pPr>
        <w:ind w:left="420" w:right="280"/>
        <w:spacing w:after="0" w:line="276" w:lineRule="auto"/>
        <w:rPr>
          <w:sz w:val="20"/>
          <w:szCs w:val="20"/>
          <w:color w:val="auto"/>
        </w:rPr>
      </w:pPr>
      <w:r>
        <w:rPr>
          <w:rFonts w:ascii="Times New Roman" w:cs="Times New Roman" w:eastAsia="Times New Roman" w:hAnsi="Times New Roman"/>
          <w:sz w:val="20"/>
          <w:szCs w:val="20"/>
          <w:color w:val="auto"/>
        </w:rPr>
        <w:t>As noted above, beneficial owners of a particular series of securities generally will not receive certificates representing their ownership interests in those securities. However, if:</w:t>
      </w:r>
    </w:p>
    <w:p>
      <w:pPr>
        <w:spacing w:after="0" w:line="159" w:lineRule="exact"/>
        <w:rPr>
          <w:sz w:val="20"/>
          <w:szCs w:val="20"/>
          <w:color w:val="auto"/>
        </w:rPr>
      </w:pPr>
    </w:p>
    <w:p>
      <w:pPr>
        <w:ind w:left="1240" w:hanging="404"/>
        <w:spacing w:after="0" w:line="251" w:lineRule="auto"/>
        <w:tabs>
          <w:tab w:leader="none" w:pos="12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9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0820"/>
          </w:cols>
          <w:pgMar w:left="320" w:top="437" w:right="7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7">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6" w:lineRule="exact"/>
        <w:rPr>
          <w:sz w:val="20"/>
          <w:szCs w:val="20"/>
          <w:color w:val="auto"/>
        </w:rPr>
      </w:pPr>
    </w:p>
    <w:p>
      <w:pPr>
        <w:ind w:left="1240" w:hanging="404"/>
        <w:spacing w:after="0"/>
        <w:tabs>
          <w:tab w:leader="none" w:pos="12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determine, in our sole discretion, not to have such securities represented by one or more global securities; or</w:t>
      </w:r>
    </w:p>
    <w:p>
      <w:pPr>
        <w:spacing w:after="0" w:line="22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Event of Default has occurred and is continuing with respect to such series of securities,</w:t>
      </w:r>
    </w:p>
    <w:p>
      <w:pPr>
        <w:spacing w:after="0" w:line="203" w:lineRule="exact"/>
        <w:rPr>
          <w:sz w:val="20"/>
          <w:szCs w:val="20"/>
          <w:color w:val="auto"/>
        </w:rPr>
      </w:pPr>
    </w:p>
    <w:p>
      <w:pPr>
        <w:ind w:left="420" w:right="40"/>
        <w:spacing w:after="0" w:line="248" w:lineRule="auto"/>
        <w:rPr>
          <w:sz w:val="20"/>
          <w:szCs w:val="20"/>
          <w:color w:val="auto"/>
        </w:rPr>
      </w:pPr>
      <w:r>
        <w:rPr>
          <w:rFonts w:ascii="Times New Roman" w:cs="Times New Roman" w:eastAsia="Times New Roman" w:hAnsi="Times New Roman"/>
          <w:sz w:val="20"/>
          <w:szCs w:val="20"/>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2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i w:val="1"/>
          <w:iCs w:val="1"/>
          <w:color w:val="auto"/>
        </w:rPr>
        <w:t>Euroclear and Clearstream</w:t>
      </w:r>
    </w:p>
    <w:p>
      <w:pPr>
        <w:spacing w:after="0" w:line="107" w:lineRule="exact"/>
        <w:rPr>
          <w:sz w:val="20"/>
          <w:szCs w:val="20"/>
          <w:color w:val="auto"/>
        </w:rPr>
      </w:pPr>
    </w:p>
    <w:p>
      <w:pPr>
        <w:ind w:left="420" w:right="40"/>
        <w:spacing w:after="0" w:line="245" w:lineRule="auto"/>
        <w:rPr>
          <w:sz w:val="20"/>
          <w:szCs w:val="20"/>
          <w:color w:val="auto"/>
        </w:rPr>
      </w:pPr>
      <w:r>
        <w:rPr>
          <w:rFonts w:ascii="Times New Roman" w:cs="Times New Roman" w:eastAsia="Times New Roman" w:hAnsi="Times New Roman"/>
          <w:sz w:val="20"/>
          <w:szCs w:val="20"/>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65" w:lineRule="exact"/>
        <w:rPr>
          <w:sz w:val="20"/>
          <w:szCs w:val="20"/>
          <w:color w:val="auto"/>
        </w:rPr>
      </w:pPr>
    </w:p>
    <w:p>
      <w:pPr>
        <w:ind w:left="420" w:right="280"/>
        <w:spacing w:after="0" w:line="251" w:lineRule="auto"/>
        <w:rPr>
          <w:sz w:val="20"/>
          <w:szCs w:val="20"/>
          <w:color w:val="auto"/>
        </w:rPr>
      </w:pPr>
      <w:r>
        <w:rPr>
          <w:rFonts w:ascii="Times New Roman" w:cs="Times New Roman" w:eastAsia="Times New Roman" w:hAnsi="Times New Roman"/>
          <w:sz w:val="20"/>
          <w:szCs w:val="20"/>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59" w:lineRule="exact"/>
        <w:rPr>
          <w:sz w:val="20"/>
          <w:szCs w:val="20"/>
          <w:color w:val="auto"/>
        </w:rPr>
      </w:pPr>
    </w:p>
    <w:p>
      <w:pPr>
        <w:ind w:left="420" w:right="160"/>
        <w:spacing w:after="0" w:line="251" w:lineRule="auto"/>
        <w:rPr>
          <w:sz w:val="20"/>
          <w:szCs w:val="20"/>
          <w:color w:val="auto"/>
        </w:rPr>
      </w:pPr>
      <w:r>
        <w:rPr>
          <w:rFonts w:ascii="Times New Roman" w:cs="Times New Roman" w:eastAsia="Times New Roman" w:hAnsi="Times New Roman"/>
          <w:sz w:val="20"/>
          <w:szCs w:val="20"/>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159" w:lineRule="exact"/>
        <w:rPr>
          <w:sz w:val="20"/>
          <w:szCs w:val="20"/>
          <w:color w:val="auto"/>
        </w:rPr>
      </w:pPr>
    </w:p>
    <w:p>
      <w:pPr>
        <w:ind w:left="420"/>
        <w:spacing w:after="0" w:line="251" w:lineRule="auto"/>
        <w:rPr>
          <w:sz w:val="20"/>
          <w:szCs w:val="20"/>
          <w:color w:val="auto"/>
        </w:rPr>
      </w:pPr>
      <w:r>
        <w:rPr>
          <w:rFonts w:ascii="Times New Roman" w:cs="Times New Roman" w:eastAsia="Times New Roman" w:hAnsi="Times New Roman"/>
          <w:sz w:val="20"/>
          <w:szCs w:val="20"/>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159" w:lineRule="exact"/>
        <w:rPr>
          <w:sz w:val="20"/>
          <w:szCs w:val="20"/>
          <w:color w:val="auto"/>
        </w:rPr>
      </w:pPr>
    </w:p>
    <w:p>
      <w:pPr>
        <w:ind w:left="420" w:right="440"/>
        <w:spacing w:after="0" w:line="276" w:lineRule="auto"/>
        <w:rPr>
          <w:sz w:val="20"/>
          <w:szCs w:val="20"/>
          <w:color w:val="auto"/>
        </w:rPr>
      </w:pPr>
      <w:r>
        <w:rPr>
          <w:rFonts w:ascii="Times New Roman" w:cs="Times New Roman" w:eastAsia="Times New Roman" w:hAnsi="Times New Roman"/>
          <w:sz w:val="20"/>
          <w:szCs w:val="20"/>
          <w:color w:val="auto"/>
        </w:rPr>
        <w:t>Cross-market transfers between participants in DTC, on the one hand, and participants in Euroclear or Clearstream, on the other hand, will be effected through DTC in accordance with</w:t>
      </w:r>
    </w:p>
    <w:p>
      <w:pPr>
        <w:spacing w:after="0" w:line="7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0820"/>
          </w:cols>
          <w:pgMar w:left="320" w:top="437" w:right="7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8">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6" w:lineRule="exact"/>
        <w:rPr>
          <w:sz w:val="20"/>
          <w:szCs w:val="20"/>
          <w:color w:val="auto"/>
        </w:rPr>
      </w:pPr>
    </w:p>
    <w:p>
      <w:pPr>
        <w:ind w:left="420"/>
        <w:spacing w:after="0" w:line="245" w:lineRule="auto"/>
        <w:rPr>
          <w:sz w:val="20"/>
          <w:szCs w:val="20"/>
          <w:color w:val="auto"/>
        </w:rPr>
      </w:pPr>
      <w:r>
        <w:rPr>
          <w:rFonts w:ascii="Times New Roman" w:cs="Times New Roman" w:eastAsia="Times New Roman" w:hAnsi="Times New Roman"/>
          <w:sz w:val="20"/>
          <w:szCs w:val="20"/>
          <w:color w:val="auto"/>
        </w:rPr>
        <w:t>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165" w:lineRule="exact"/>
        <w:rPr>
          <w:sz w:val="20"/>
          <w:szCs w:val="20"/>
          <w:color w:val="auto"/>
        </w:rPr>
      </w:pPr>
    </w:p>
    <w:p>
      <w:pPr>
        <w:ind w:left="420" w:right="160"/>
        <w:spacing w:after="0" w:line="245" w:lineRule="auto"/>
        <w:rPr>
          <w:sz w:val="20"/>
          <w:szCs w:val="20"/>
          <w:color w:val="auto"/>
        </w:rPr>
      </w:pPr>
      <w:r>
        <w:rPr>
          <w:rFonts w:ascii="Times New Roman" w:cs="Times New Roman" w:eastAsia="Times New Roman" w:hAnsi="Times New Roman"/>
          <w:sz w:val="20"/>
          <w:szCs w:val="20"/>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2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i w:val="1"/>
          <w:iCs w:val="1"/>
          <w:color w:val="auto"/>
        </w:rPr>
        <w:t>Other</w:t>
      </w:r>
    </w:p>
    <w:p>
      <w:pPr>
        <w:spacing w:after="0" w:line="107" w:lineRule="exact"/>
        <w:rPr>
          <w:sz w:val="20"/>
          <w:szCs w:val="20"/>
          <w:color w:val="auto"/>
        </w:rPr>
      </w:pPr>
    </w:p>
    <w:p>
      <w:pPr>
        <w:ind w:left="420"/>
        <w:spacing w:after="0" w:line="243" w:lineRule="auto"/>
        <w:rPr>
          <w:sz w:val="20"/>
          <w:szCs w:val="20"/>
          <w:color w:val="auto"/>
        </w:rPr>
      </w:pPr>
      <w:r>
        <w:rPr>
          <w:rFonts w:ascii="Times New Roman" w:cs="Times New Roman" w:eastAsia="Times New Roman" w:hAnsi="Times New Roman"/>
          <w:sz w:val="20"/>
          <w:szCs w:val="20"/>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10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0800"/>
          </w:cols>
          <w:pgMar w:left="320" w:top="437" w:right="7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9">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0"/>
          <w:szCs w:val="20"/>
          <w:b w:val="1"/>
          <w:bCs w:val="1"/>
          <w:color w:val="auto"/>
        </w:rPr>
        <w:t>PLAN OF DISTRIBUTION</w:t>
      </w:r>
    </w:p>
    <w:p>
      <w:pPr>
        <w:spacing w:after="0" w:line="207" w:lineRule="exact"/>
        <w:rPr>
          <w:sz w:val="20"/>
          <w:szCs w:val="20"/>
          <w:color w:val="auto"/>
        </w:rPr>
      </w:pPr>
    </w:p>
    <w:p>
      <w:pPr>
        <w:jc w:val="both"/>
        <w:ind w:left="420" w:right="80"/>
        <w:spacing w:after="0" w:line="257" w:lineRule="auto"/>
        <w:rPr>
          <w:sz w:val="20"/>
          <w:szCs w:val="20"/>
          <w:color w:val="auto"/>
        </w:rPr>
      </w:pPr>
      <w:r>
        <w:rPr>
          <w:rFonts w:ascii="Times New Roman" w:cs="Times New Roman" w:eastAsia="Times New Roman" w:hAnsi="Times New Roman"/>
          <w:sz w:val="20"/>
          <w:szCs w:val="20"/>
          <w:color w:val="auto"/>
        </w:rPr>
        <w:t>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178" w:lineRule="exact"/>
        <w:rPr>
          <w:sz w:val="20"/>
          <w:szCs w:val="20"/>
          <w:color w:val="auto"/>
        </w:rPr>
      </w:pPr>
    </w:p>
    <w:p>
      <w:pPr>
        <w:ind w:left="1240" w:hanging="404"/>
        <w:spacing w:after="0"/>
        <w:tabs>
          <w:tab w:leader="none" w:pos="12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 fixed price or prices, which may be changed;</w:t>
      </w:r>
    </w:p>
    <w:p>
      <w:pPr>
        <w:spacing w:after="0" w:line="22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market prices prevailing at the time of sale;</w:t>
      </w:r>
    </w:p>
    <w:p>
      <w:pPr>
        <w:spacing w:after="0" w:line="22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prices related to such prevailing market prices; or</w:t>
      </w:r>
    </w:p>
    <w:p>
      <w:pPr>
        <w:spacing w:after="0" w:line="22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negotiated prices.</w:t>
      </w:r>
    </w:p>
    <w:p>
      <w:pPr>
        <w:spacing w:after="0" w:line="203" w:lineRule="exact"/>
        <w:rPr>
          <w:sz w:val="20"/>
          <w:szCs w:val="20"/>
          <w:color w:val="auto"/>
        </w:rPr>
      </w:pPr>
    </w:p>
    <w:p>
      <w:pPr>
        <w:ind w:left="420" w:right="80"/>
        <w:spacing w:after="0" w:line="257" w:lineRule="auto"/>
        <w:rPr>
          <w:sz w:val="20"/>
          <w:szCs w:val="20"/>
          <w:color w:val="auto"/>
        </w:rPr>
      </w:pPr>
      <w:r>
        <w:rPr>
          <w:rFonts w:ascii="Times New Roman" w:cs="Times New Roman" w:eastAsia="Times New Roman" w:hAnsi="Times New Roman"/>
          <w:sz w:val="20"/>
          <w:szCs w:val="20"/>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53" w:lineRule="exact"/>
        <w:rPr>
          <w:sz w:val="20"/>
          <w:szCs w:val="20"/>
          <w:color w:val="auto"/>
        </w:rPr>
      </w:pPr>
    </w:p>
    <w:p>
      <w:pPr>
        <w:ind w:left="420" w:right="200"/>
        <w:spacing w:after="0" w:line="257" w:lineRule="auto"/>
        <w:rPr>
          <w:sz w:val="20"/>
          <w:szCs w:val="20"/>
          <w:color w:val="auto"/>
        </w:rPr>
      </w:pPr>
      <w:r>
        <w:rPr>
          <w:rFonts w:ascii="Times New Roman" w:cs="Times New Roman" w:eastAsia="Times New Roman" w:hAnsi="Times New Roman"/>
          <w:sz w:val="20"/>
          <w:szCs w:val="20"/>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53" w:lineRule="exact"/>
        <w:rPr>
          <w:sz w:val="20"/>
          <w:szCs w:val="20"/>
          <w:color w:val="auto"/>
        </w:rPr>
      </w:pPr>
    </w:p>
    <w:p>
      <w:pPr>
        <w:ind w:left="420" w:right="120"/>
        <w:spacing w:after="0" w:line="257" w:lineRule="auto"/>
        <w:rPr>
          <w:sz w:val="20"/>
          <w:szCs w:val="20"/>
          <w:color w:val="auto"/>
        </w:rPr>
      </w:pPr>
      <w:r>
        <w:rPr>
          <w:rFonts w:ascii="Times New Roman" w:cs="Times New Roman" w:eastAsia="Times New Roman" w:hAnsi="Times New Roman"/>
          <w:sz w:val="20"/>
          <w:szCs w:val="20"/>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53" w:lineRule="exact"/>
        <w:rPr>
          <w:sz w:val="20"/>
          <w:szCs w:val="20"/>
          <w:color w:val="auto"/>
        </w:rPr>
      </w:pPr>
    </w:p>
    <w:p>
      <w:pPr>
        <w:ind w:left="420"/>
        <w:spacing w:after="0" w:line="243" w:lineRule="auto"/>
        <w:rPr>
          <w:sz w:val="20"/>
          <w:szCs w:val="20"/>
          <w:color w:val="auto"/>
        </w:rPr>
      </w:pPr>
      <w:r>
        <w:rPr>
          <w:rFonts w:ascii="Times New Roman" w:cs="Times New Roman" w:eastAsia="Times New Roman" w:hAnsi="Times New Roman"/>
          <w:sz w:val="20"/>
          <w:szCs w:val="20"/>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71" w:lineRule="exact"/>
        <w:rPr>
          <w:sz w:val="20"/>
          <w:szCs w:val="20"/>
          <w:color w:val="auto"/>
        </w:rPr>
      </w:pPr>
    </w:p>
    <w:p>
      <w:pPr>
        <w:ind w:left="420" w:right="160"/>
        <w:spacing w:after="0" w:line="251" w:lineRule="auto"/>
        <w:rPr>
          <w:sz w:val="20"/>
          <w:szCs w:val="20"/>
          <w:color w:val="auto"/>
        </w:rPr>
      </w:pPr>
      <w:r>
        <w:rPr>
          <w:rFonts w:ascii="Times New Roman" w:cs="Times New Roman" w:eastAsia="Times New Roman" w:hAnsi="Times New Roman"/>
          <w:sz w:val="20"/>
          <w:szCs w:val="20"/>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of 1933, as amended (which we refer to as</w:t>
      </w:r>
    </w:p>
    <w:p>
      <w:pPr>
        <w:spacing w:after="0" w:line="9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0800"/>
          </w:cols>
          <w:pgMar w:left="320" w:top="437" w:right="7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0">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6" w:lineRule="exact"/>
        <w:rPr>
          <w:sz w:val="20"/>
          <w:szCs w:val="20"/>
          <w:color w:val="auto"/>
        </w:rPr>
      </w:pPr>
    </w:p>
    <w:p>
      <w:pPr>
        <w:ind w:left="420" w:right="60"/>
        <w:spacing w:after="0" w:line="251" w:lineRule="auto"/>
        <w:rPr>
          <w:sz w:val="20"/>
          <w:szCs w:val="20"/>
          <w:color w:val="auto"/>
        </w:rPr>
      </w:pPr>
      <w:r>
        <w:rPr>
          <w:rFonts w:ascii="Times New Roman" w:cs="Times New Roman" w:eastAsia="Times New Roman" w:hAnsi="Times New Roman"/>
          <w:sz w:val="20"/>
          <w:szCs w:val="20"/>
          <w:color w:val="auto"/>
        </w:rPr>
        <w:t>the “Securities Act” in this prospectus,),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59" w:lineRule="exact"/>
        <w:rPr>
          <w:sz w:val="20"/>
          <w:szCs w:val="20"/>
          <w:color w:val="auto"/>
        </w:rPr>
      </w:pPr>
    </w:p>
    <w:p>
      <w:pPr>
        <w:ind w:left="420"/>
        <w:spacing w:after="0" w:line="243" w:lineRule="auto"/>
        <w:rPr>
          <w:sz w:val="20"/>
          <w:szCs w:val="20"/>
          <w:color w:val="auto"/>
        </w:rPr>
      </w:pPr>
      <w:r>
        <w:rPr>
          <w:rFonts w:ascii="Times New Roman" w:cs="Times New Roman" w:eastAsia="Times New Roman" w:hAnsi="Times New Roman"/>
          <w:sz w:val="20"/>
          <w:szCs w:val="20"/>
          <w:color w:val="auto"/>
        </w:rPr>
        <w:t>Any common stock will be listed on the Nasdaq Capital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67" w:lineRule="exact"/>
        <w:rPr>
          <w:sz w:val="20"/>
          <w:szCs w:val="20"/>
          <w:color w:val="auto"/>
        </w:rPr>
      </w:pPr>
    </w:p>
    <w:p>
      <w:pPr>
        <w:ind w:left="420"/>
        <w:spacing w:after="0" w:line="242" w:lineRule="auto"/>
        <w:rPr>
          <w:sz w:val="20"/>
          <w:szCs w:val="20"/>
          <w:color w:val="auto"/>
        </w:rPr>
      </w:pPr>
      <w:r>
        <w:rPr>
          <w:rFonts w:ascii="Times New Roman" w:cs="Times New Roman" w:eastAsia="Times New Roman" w:hAnsi="Times New Roman"/>
          <w:sz w:val="20"/>
          <w:szCs w:val="20"/>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200" w:lineRule="exact"/>
        <w:rPr>
          <w:sz w:val="20"/>
          <w:szCs w:val="20"/>
          <w:color w:val="auto"/>
        </w:rPr>
      </w:pPr>
    </w:p>
    <w:p>
      <w:pPr>
        <w:spacing w:after="0" w:line="203" w:lineRule="exact"/>
        <w:rPr>
          <w:sz w:val="20"/>
          <w:szCs w:val="20"/>
          <w:color w:val="auto"/>
        </w:rPr>
      </w:pPr>
    </w:p>
    <w:p>
      <w:pPr>
        <w:ind w:left="420" w:right="360"/>
        <w:spacing w:after="0" w:line="276" w:lineRule="auto"/>
        <w:rPr>
          <w:sz w:val="20"/>
          <w:szCs w:val="20"/>
          <w:color w:val="auto"/>
        </w:rPr>
      </w:pPr>
      <w:r>
        <w:rPr>
          <w:rFonts w:ascii="Times New Roman" w:cs="Times New Roman" w:eastAsia="Times New Roman" w:hAnsi="Times New Roman"/>
          <w:sz w:val="20"/>
          <w:szCs w:val="20"/>
          <w:color w:val="auto"/>
        </w:rPr>
        <w:t>The specific terms of any lock-up provisions in respect of any given offering will be described in the applicable prospectus supplement.</w:t>
      </w:r>
    </w:p>
    <w:p>
      <w:pPr>
        <w:spacing w:after="0" w:line="133" w:lineRule="exact"/>
        <w:rPr>
          <w:sz w:val="20"/>
          <w:szCs w:val="20"/>
          <w:color w:val="auto"/>
        </w:rPr>
      </w:pPr>
    </w:p>
    <w:p>
      <w:pPr>
        <w:ind w:left="420" w:right="160"/>
        <w:spacing w:after="0" w:line="276" w:lineRule="auto"/>
        <w:rPr>
          <w:sz w:val="20"/>
          <w:szCs w:val="20"/>
          <w:color w:val="auto"/>
        </w:rPr>
      </w:pPr>
      <w:r>
        <w:rPr>
          <w:rFonts w:ascii="Times New Roman" w:cs="Times New Roman" w:eastAsia="Times New Roman" w:hAnsi="Times New Roman"/>
          <w:sz w:val="20"/>
          <w:szCs w:val="20"/>
          <w:color w:val="auto"/>
        </w:rPr>
        <w:t>The underwriters, dealers and agents may engage in transactions with us, or perform services for us, in the ordinary course of business for which they receive compensation.</w:t>
      </w:r>
    </w:p>
    <w:p>
      <w:pPr>
        <w:spacing w:after="0" w:line="7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0800"/>
          </w:cols>
          <w:pgMar w:left="320" w:top="437" w:right="7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1">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b w:val="1"/>
          <w:bCs w:val="1"/>
          <w:color w:val="auto"/>
        </w:rPr>
        <w:t>LEGAL MATTERS</w:t>
      </w:r>
    </w:p>
    <w:p>
      <w:pPr>
        <w:spacing w:after="0" w:line="207" w:lineRule="exact"/>
        <w:rPr>
          <w:sz w:val="20"/>
          <w:szCs w:val="20"/>
          <w:color w:val="auto"/>
        </w:rPr>
      </w:pPr>
    </w:p>
    <w:p>
      <w:pPr>
        <w:jc w:val="both"/>
        <w:ind w:left="420"/>
        <w:spacing w:after="0" w:line="257" w:lineRule="auto"/>
        <w:rPr>
          <w:sz w:val="20"/>
          <w:szCs w:val="20"/>
          <w:color w:val="auto"/>
        </w:rPr>
      </w:pPr>
      <w:r>
        <w:rPr>
          <w:rFonts w:ascii="Times New Roman" w:cs="Times New Roman" w:eastAsia="Times New Roman" w:hAnsi="Times New Roman"/>
          <w:sz w:val="20"/>
          <w:szCs w:val="20"/>
          <w:color w:val="auto"/>
        </w:rPr>
        <w:t>Latham &amp; Watkins LLP will pass upon certain legal matters relating to the issuance and sale of the securities offered hereby on behalf of T2 Biosystems. Additional legal matters may be passed upon for us or any underwriters, dealers or agents, by counsel that we will name in the applicable prospectus supplement.</w:t>
      </w:r>
    </w:p>
    <w:p>
      <w:pPr>
        <w:spacing w:after="0" w:line="35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b w:val="1"/>
          <w:bCs w:val="1"/>
          <w:color w:val="auto"/>
        </w:rPr>
        <w:t>EXPERTS</w:t>
      </w:r>
    </w:p>
    <w:p>
      <w:pPr>
        <w:spacing w:after="0" w:line="207" w:lineRule="exact"/>
        <w:rPr>
          <w:sz w:val="20"/>
          <w:szCs w:val="20"/>
          <w:color w:val="auto"/>
        </w:rPr>
      </w:pPr>
    </w:p>
    <w:p>
      <w:pPr>
        <w:ind w:left="420" w:right="120"/>
        <w:spacing w:after="0" w:line="248" w:lineRule="auto"/>
        <w:rPr>
          <w:sz w:val="20"/>
          <w:szCs w:val="20"/>
          <w:color w:val="auto"/>
        </w:rPr>
      </w:pPr>
      <w:r>
        <w:rPr>
          <w:rFonts w:ascii="Times New Roman" w:cs="Times New Roman" w:eastAsia="Times New Roman" w:hAnsi="Times New Roman"/>
          <w:sz w:val="20"/>
          <w:szCs w:val="20"/>
          <w:color w:val="auto"/>
        </w:rPr>
        <w:t>The consolidated financial statements as of December 31, 2023 and 2022 and for each of the two years in the period ended December 31, 2023 incorporated by reference in this prospectus and in the registration statement have been so incorporated in reliance on the report of BDO USA, LLP, an independent registered public accounting firm, incorporated herein by reference, given on the authority of said firm as experts in auditing and accounting. The report on the consolidated financial statements contains an explanatory paragraph regarding the Company’s ability to continue as a going concern.</w:t>
      </w:r>
    </w:p>
    <w:p>
      <w:pPr>
        <w:spacing w:after="0" w:line="9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0820"/>
          </w:cols>
          <w:pgMar w:left="320" w:top="437" w:right="7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2">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2" w:lineRule="exact"/>
        <w:rPr>
          <w:sz w:val="20"/>
          <w:szCs w:val="20"/>
          <w:color w:val="auto"/>
        </w:rPr>
      </w:pPr>
    </w:p>
    <w:p>
      <w:pPr>
        <w:ind w:left="420" w:right="20"/>
        <w:spacing w:after="0" w:line="259" w:lineRule="auto"/>
        <w:rPr>
          <w:sz w:val="20"/>
          <w:szCs w:val="20"/>
          <w:color w:val="auto"/>
        </w:rPr>
      </w:pPr>
      <w:r>
        <w:rPr>
          <w:rFonts w:ascii="Times New Roman" w:cs="Times New Roman" w:eastAsia="Times New Roman" w:hAnsi="Times New Roman"/>
          <w:sz w:val="20"/>
          <w:szCs w:val="20"/>
          <w:b w:val="1"/>
          <w:bCs w:val="1"/>
          <w:color w:val="FF2133"/>
        </w:rPr>
        <w:t>The information in this prospectus is not complete and may be changed. These securities may not be sold until the registration statement filed with the Securities and Exchange Commission is effective. This prospectus is not an offer to sell nor does it seek an offer to buy these securities in any jurisdiction where the offer or sale is not permitted.</w:t>
      </w:r>
    </w:p>
    <w:p>
      <w:pPr>
        <w:spacing w:after="0" w:line="14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b w:val="1"/>
          <w:bCs w:val="1"/>
          <w:color w:val="FF2133"/>
        </w:rPr>
        <w:t>Subject to Completion, dated July 19, 2024.</w:t>
      </w:r>
    </w:p>
    <w:p>
      <w:pPr>
        <w:spacing w:after="0" w:line="1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2799080</wp:posOffset>
            </wp:positionH>
            <wp:positionV relativeFrom="paragraph">
              <wp:posOffset>163830</wp:posOffset>
            </wp:positionV>
            <wp:extent cx="1552575" cy="5581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3">
                      <a:extLst>
                        <a:ext uri="{28A0092B-C50C-407E-A947-70E740481C1C}"/>
                      </a:extLst>
                    </a:blip>
                    <a:srcRect/>
                    <a:stretch>
                      <a:fillRect/>
                    </a:stretch>
                  </pic:blipFill>
                  <pic:spPr bwMode="auto">
                    <a:xfrm>
                      <a:off x="0" y="0"/>
                      <a:ext cx="1552575" cy="558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31"/>
          <w:szCs w:val="31"/>
          <w:b w:val="1"/>
          <w:bCs w:val="1"/>
          <w:color w:val="auto"/>
        </w:rPr>
        <w:t>Up to $14,658,742</w:t>
      </w:r>
    </w:p>
    <w:p>
      <w:pPr>
        <w:spacing w:after="0" w:line="19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31"/>
          <w:szCs w:val="31"/>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327660</wp:posOffset>
            </wp:positionV>
            <wp:extent cx="65982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4">
                      <a:extLst>
                        <a:ext uri="{28A0092B-C50C-407E-A947-70E740481C1C}"/>
                      </a:extLst>
                    </a:blip>
                    <a:srcRect/>
                    <a:stretch>
                      <a:fillRect/>
                    </a:stretch>
                  </pic:blipFill>
                  <pic:spPr bwMode="auto">
                    <a:xfrm>
                      <a:off x="0" y="0"/>
                      <a:ext cx="6598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20" w:right="20"/>
        <w:spacing w:after="0" w:line="251" w:lineRule="auto"/>
        <w:rPr>
          <w:sz w:val="20"/>
          <w:szCs w:val="20"/>
          <w:color w:val="auto"/>
        </w:rPr>
      </w:pPr>
      <w:r>
        <w:rPr>
          <w:rFonts w:ascii="Times New Roman" w:cs="Times New Roman" w:eastAsia="Times New Roman" w:hAnsi="Times New Roman"/>
          <w:sz w:val="20"/>
          <w:szCs w:val="20"/>
          <w:color w:val="auto"/>
        </w:rPr>
        <w:t>We have entered into an At The Market Offering Agreement, or the “ATM Agreement,” with H.C. Wainwright &amp; Co., LLC, or “HCW,” dated July 19, 2024, relating to the sale of our common stock, par value $0.001 per share (the “common stock”), offered by this prospectus. In accordance with the terms of the ATM Agreement, under this prospectus, we may offer and sell shares of our common stock having an aggregate offering price of up to $14.65 million from time to time through HCW.</w:t>
      </w:r>
    </w:p>
    <w:p>
      <w:pPr>
        <w:spacing w:after="0" w:line="159" w:lineRule="exact"/>
        <w:rPr>
          <w:sz w:val="20"/>
          <w:szCs w:val="20"/>
          <w:color w:val="auto"/>
        </w:rPr>
      </w:pPr>
    </w:p>
    <w:p>
      <w:pPr>
        <w:ind w:left="420"/>
        <w:spacing w:after="0" w:line="243" w:lineRule="auto"/>
        <w:rPr>
          <w:sz w:val="20"/>
          <w:szCs w:val="20"/>
          <w:color w:val="auto"/>
        </w:rPr>
      </w:pPr>
      <w:r>
        <w:rPr>
          <w:rFonts w:ascii="Times New Roman" w:cs="Times New Roman" w:eastAsia="Times New Roman" w:hAnsi="Times New Roman"/>
          <w:sz w:val="20"/>
          <w:szCs w:val="20"/>
          <w:color w:val="auto"/>
        </w:rPr>
        <w:t>We are subject to the offering limits in General Instruction I.B.6 of Form S-3. As of July 19, 2024, the aggregate market value of our common stock held by non-affiliates, or public float, calculated for purposes of General Instruction I.B.6 of Form S-3 is $43,976,228, which was calculated based on 6,713,928 shares of our outstanding common stock held by non-affiliates and a price of $6.55 per share, the closing price of our common stock on June 24, 2024, which is the highest closing sale price of our common stock on the Nasdaq Capital Market within the prior 60 days. As of the date of this prospectus, we have not sold any securities pursuant to General Instruction I.B.6 of Form S-3 during the 12 calendar months prior to, and including, the date of this prospectus. Pursuant to General Instruction I.B.6 of Form S-3, in no event will we sell securities in public primary offerings on Form S-3 with a value exceeding one-third of our public float (as defined by General Instruction I.B.6) in any 12-calendar month period so long as our public float remains below $75.0 million.</w:t>
      </w:r>
    </w:p>
    <w:p>
      <w:pPr>
        <w:spacing w:after="0" w:line="171" w:lineRule="exact"/>
        <w:rPr>
          <w:sz w:val="20"/>
          <w:szCs w:val="20"/>
          <w:color w:val="auto"/>
        </w:rPr>
      </w:pPr>
    </w:p>
    <w:p>
      <w:pPr>
        <w:ind w:left="420" w:right="80"/>
        <w:spacing w:after="0" w:line="246" w:lineRule="auto"/>
        <w:rPr>
          <w:sz w:val="20"/>
          <w:szCs w:val="20"/>
          <w:color w:val="auto"/>
        </w:rPr>
      </w:pPr>
      <w:r>
        <w:rPr>
          <w:rFonts w:ascii="Times New Roman" w:cs="Times New Roman" w:eastAsia="Times New Roman" w:hAnsi="Times New Roman"/>
          <w:sz w:val="20"/>
          <w:szCs w:val="20"/>
          <w:color w:val="auto"/>
        </w:rPr>
        <w:t>As a result of the limitations on the maximum amount of shares that we are eligible to offer and sell under General Instruction I.B.6 of Form S-3, we may currently only offer and sell shares of our common stock having an aggregate offering price of up to $14,658,742 pursuant to the ATM Agreement. However, in the event that our public float increases or decreases, we may sell securities in public primary offerings on Form S-3 with a value up to one-third of our public float, in each case calculated pursuant to General Instruction I.B.6 and subject to the terms of the ATM Agreement. In the event that our public float increases above $75.0 million, we will no longer be subject to the limits in General Instruction I.B.6 of Form S-3.</w:t>
      </w:r>
    </w:p>
    <w:p>
      <w:pPr>
        <w:sectPr>
          <w:pgSz w:w="11900" w:h="16838" w:orient="portrait"/>
          <w:cols w:equalWidth="0" w:num="1">
            <w:col w:w="10780"/>
          </w:cols>
          <w:pgMar w:left="320" w:top="437" w:right="7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5">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6" w:lineRule="exact"/>
        <w:rPr>
          <w:sz w:val="20"/>
          <w:szCs w:val="20"/>
          <w:color w:val="auto"/>
        </w:rPr>
      </w:pPr>
    </w:p>
    <w:p>
      <w:pPr>
        <w:ind w:left="420" w:right="60"/>
        <w:spacing w:after="0" w:line="276" w:lineRule="auto"/>
        <w:rPr>
          <w:sz w:val="20"/>
          <w:szCs w:val="20"/>
          <w:color w:val="auto"/>
        </w:rPr>
      </w:pPr>
      <w:r>
        <w:rPr>
          <w:rFonts w:ascii="Times New Roman" w:cs="Times New Roman" w:eastAsia="Times New Roman" w:hAnsi="Times New Roman"/>
          <w:sz w:val="20"/>
          <w:szCs w:val="20"/>
          <w:color w:val="auto"/>
        </w:rPr>
        <w:t>Our common stock is listed on the Nasdaq Capital Market under the symbol “TTOO.” On July 17, 2024, the last reported sale price of our common stock on the Nasdaq Capital Market was $5.58 per share.</w:t>
      </w:r>
    </w:p>
    <w:p>
      <w:pPr>
        <w:spacing w:after="0" w:line="133" w:lineRule="exact"/>
        <w:rPr>
          <w:sz w:val="20"/>
          <w:szCs w:val="20"/>
          <w:color w:val="auto"/>
        </w:rPr>
      </w:pPr>
    </w:p>
    <w:p>
      <w:pPr>
        <w:ind w:left="420"/>
        <w:spacing w:after="0" w:line="246" w:lineRule="auto"/>
        <w:rPr>
          <w:sz w:val="20"/>
          <w:szCs w:val="20"/>
          <w:color w:val="auto"/>
        </w:rPr>
      </w:pPr>
      <w:r>
        <w:rPr>
          <w:rFonts w:ascii="Times New Roman" w:cs="Times New Roman" w:eastAsia="Times New Roman" w:hAnsi="Times New Roman"/>
          <w:sz w:val="20"/>
          <w:szCs w:val="20"/>
          <w:color w:val="auto"/>
        </w:rPr>
        <w:t>Sales of our common stock, if any, under this prospectus will be made by any method permitted that is deemed an “at the market offering” as defined in Rule 415(a)(4) under the Securities Act of 1933, as amended, or the Securities Act. HCW is not required to sell any specific amount, but will act as our sales agent using commercially reasonable efforts consistent with its normal trading and sales practices to sell on our behalf all of the shares of common stock requested to be sold by us, on mutually agreed terms between HCW and us. There is no arrangement for funds to be received in any escrow, trust or similar arrangement.</w:t>
      </w:r>
    </w:p>
    <w:p>
      <w:pPr>
        <w:spacing w:after="0" w:line="400" w:lineRule="exact"/>
        <w:rPr>
          <w:sz w:val="20"/>
          <w:szCs w:val="20"/>
          <w:color w:val="auto"/>
        </w:rPr>
      </w:pPr>
    </w:p>
    <w:p>
      <w:pPr>
        <w:ind w:left="420" w:right="40"/>
        <w:spacing w:after="0" w:line="246" w:lineRule="auto"/>
        <w:rPr>
          <w:sz w:val="20"/>
          <w:szCs w:val="20"/>
          <w:color w:val="auto"/>
        </w:rPr>
      </w:pPr>
      <w:r>
        <w:rPr>
          <w:rFonts w:ascii="Times New Roman" w:cs="Times New Roman" w:eastAsia="Times New Roman" w:hAnsi="Times New Roman"/>
          <w:sz w:val="20"/>
          <w:szCs w:val="20"/>
          <w:color w:val="auto"/>
        </w:rPr>
        <w:t>The compensation to HCW for sales of common stock sold pursuant to the ATM Agreement will be up to 3.0% of the gross proceeds of any shares of common stock sold under the ATM Agreement. In connection with the sale of the common stock on our behalf, HCW may be deemed to be an “underwriter” within the meaning of the Securities Act and the compensation of HCW may be deemed to be underwriting commissions or discounts. See “Plan of Distribution” beginning on page S-14 for additional information regarding the compensation to be paid to HCW. We have also agreed to provide indemnification and contribution to HCW with respect to certain liabilities, including liabilities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298450</wp:posOffset>
            </wp:positionV>
            <wp:extent cx="659828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6">
                      <a:extLst>
                        <a:ext uri="{28A0092B-C50C-407E-A947-70E740481C1C}"/>
                      </a:extLst>
                    </a:blip>
                    <a:srcRect/>
                    <a:stretch>
                      <a:fillRect/>
                    </a:stretch>
                  </pic:blipFill>
                  <pic:spPr bwMode="auto">
                    <a:xfrm>
                      <a:off x="0" y="0"/>
                      <a:ext cx="6598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20" w:right="40"/>
        <w:spacing w:after="0" w:line="254" w:lineRule="auto"/>
        <w:rPr>
          <w:sz w:val="20"/>
          <w:szCs w:val="20"/>
          <w:color w:val="auto"/>
        </w:rPr>
      </w:pPr>
      <w:r>
        <w:rPr>
          <w:rFonts w:ascii="Times New Roman" w:cs="Times New Roman" w:eastAsia="Times New Roman" w:hAnsi="Times New Roman"/>
          <w:sz w:val="20"/>
          <w:szCs w:val="20"/>
          <w:b w:val="1"/>
          <w:bCs w:val="1"/>
          <w:color w:val="auto"/>
        </w:rPr>
        <w:t>INVESTING IN OUR SECURITIES INVOLVES RISKS. SEE THE “</w:t>
      </w:r>
      <w:r>
        <w:rPr>
          <w:rFonts w:ascii="Times New Roman" w:cs="Times New Roman" w:eastAsia="Times New Roman" w:hAnsi="Times New Roman"/>
          <w:sz w:val="20"/>
          <w:szCs w:val="20"/>
          <w:b w:val="1"/>
          <w:bCs w:val="1"/>
          <w:u w:val="single" w:color="auto"/>
          <w:color w:val="0000EE"/>
        </w:rPr>
        <w:t>RISK FACTORS</w:t>
      </w:r>
      <w:r>
        <w:rPr>
          <w:rFonts w:ascii="Times New Roman" w:cs="Times New Roman" w:eastAsia="Times New Roman" w:hAnsi="Times New Roman"/>
          <w:sz w:val="20"/>
          <w:szCs w:val="20"/>
          <w:b w:val="1"/>
          <w:bCs w:val="1"/>
          <w:color w:val="auto"/>
        </w:rPr>
        <w:t>” BEGINNING ON PAGE S-8 OF THIS PROSPECTUS AND IN THE DOCUMENTS INCORPORATED BY REFERENCE IN THIS PROSPECTUS CONCERNING FACTORS YOU SHOULD CONSIDER BEFORE INVESTING IN OUR COMMON STOCK.</w:t>
      </w:r>
    </w:p>
    <w:p>
      <w:pPr>
        <w:spacing w:after="0" w:line="390" w:lineRule="exact"/>
        <w:rPr>
          <w:sz w:val="20"/>
          <w:szCs w:val="20"/>
          <w:color w:val="auto"/>
        </w:rPr>
      </w:pPr>
    </w:p>
    <w:p>
      <w:pPr>
        <w:ind w:left="420" w:right="100"/>
        <w:spacing w:after="0" w:line="259" w:lineRule="auto"/>
        <w:rPr>
          <w:sz w:val="20"/>
          <w:szCs w:val="20"/>
          <w:color w:val="auto"/>
        </w:rPr>
      </w:pPr>
      <w:r>
        <w:rPr>
          <w:rFonts w:ascii="Times New Roman" w:cs="Times New Roman" w:eastAsia="Times New Roman" w:hAnsi="Times New Roman"/>
          <w:sz w:val="20"/>
          <w:szCs w:val="20"/>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289560</wp:posOffset>
            </wp:positionV>
            <wp:extent cx="659828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7">
                      <a:extLst>
                        <a:ext uri="{28A0092B-C50C-407E-A947-70E740481C1C}"/>
                      </a:extLst>
                    </a:blip>
                    <a:srcRect/>
                    <a:stretch>
                      <a:fillRect/>
                    </a:stretch>
                  </pic:blipFill>
                  <pic:spPr bwMode="auto">
                    <a:xfrm>
                      <a:off x="0" y="0"/>
                      <a:ext cx="6598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34"/>
          <w:szCs w:val="34"/>
          <w:b w:val="1"/>
          <w:bCs w:val="1"/>
          <w:color w:val="auto"/>
        </w:rPr>
        <w:t>H.C. Wainwright &amp; Co.</w:t>
      </w:r>
    </w:p>
    <w:p>
      <w:pPr>
        <w:spacing w:after="0" w:line="219" w:lineRule="exact"/>
        <w:rPr>
          <w:sz w:val="20"/>
          <w:szCs w:val="20"/>
          <w:color w:val="auto"/>
        </w:rPr>
      </w:pPr>
    </w:p>
    <w:p>
      <w:pPr>
        <w:ind w:left="3640"/>
        <w:spacing w:after="0"/>
        <w:tabs>
          <w:tab w:leader="none" w:pos="7020" w:val="left"/>
        </w:tabs>
        <w:rPr>
          <w:sz w:val="20"/>
          <w:szCs w:val="20"/>
          <w:color w:val="auto"/>
        </w:rPr>
      </w:pPr>
      <w:r>
        <w:rPr>
          <w:rFonts w:ascii="Times New Roman" w:cs="Times New Roman" w:eastAsia="Times New Roman" w:hAnsi="Times New Roman"/>
          <w:sz w:val="20"/>
          <w:szCs w:val="20"/>
          <w:b w:val="1"/>
          <w:bCs w:val="1"/>
          <w:color w:val="auto"/>
        </w:rPr>
        <w:t xml:space="preserve">The date of this prospectus is          </w:t>
        <w:tab/>
        <w:t>, 2024.</w:t>
      </w:r>
    </w:p>
    <w:p>
      <w:pPr>
        <w:sectPr>
          <w:pgSz w:w="11900" w:h="16838" w:orient="portrait"/>
          <w:cols w:equalWidth="0" w:num="1">
            <w:col w:w="10740"/>
          </w:cols>
          <w:pgMar w:left="320" w:top="437" w:right="8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95"/>
        </w:trPr>
        <w:tc>
          <w:tcPr>
            <w:tcW w:w="9180" w:type="dxa"/>
            <w:vAlign w:val="bottom"/>
            <w:gridSpan w:val="15"/>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1580" w:type="dxa"/>
            <w:vAlign w:val="bottom"/>
          </w:tcPr>
          <w:p>
            <w:pPr>
              <w:spacing w:after="0"/>
              <w:rPr>
                <w:sz w:val="17"/>
                <w:szCs w:val="17"/>
                <w:color w:val="auto"/>
              </w:rPr>
            </w:pPr>
          </w:p>
        </w:tc>
      </w:tr>
      <w:tr>
        <w:trPr>
          <w:trHeight w:val="551"/>
        </w:trPr>
        <w:tc>
          <w:tcPr>
            <w:tcW w:w="42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20" w:type="dxa"/>
            <w:vAlign w:val="bottom"/>
            <w:gridSpan w:val="3"/>
          </w:tcPr>
          <w:p>
            <w:pPr>
              <w:ind w:left="158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1580" w:type="dxa"/>
            <w:vAlign w:val="bottom"/>
          </w:tcPr>
          <w:p>
            <w:pPr>
              <w:spacing w:after="0"/>
              <w:rPr>
                <w:sz w:val="24"/>
                <w:szCs w:val="24"/>
                <w:color w:val="auto"/>
              </w:rPr>
            </w:pPr>
          </w:p>
        </w:tc>
      </w:tr>
      <w:tr>
        <w:trPr>
          <w:trHeight w:val="409"/>
        </w:trPr>
        <w:tc>
          <w:tcPr>
            <w:tcW w:w="420" w:type="dxa"/>
            <w:vAlign w:val="bottom"/>
          </w:tcPr>
          <w:p>
            <w:pPr>
              <w:spacing w:after="0"/>
              <w:rPr>
                <w:sz w:val="24"/>
                <w:szCs w:val="24"/>
                <w:color w:val="auto"/>
              </w:rPr>
            </w:pPr>
          </w:p>
        </w:tc>
        <w:tc>
          <w:tcPr>
            <w:tcW w:w="25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20"/>
                <w:szCs w:val="20"/>
                <w:color w:val="0000EE"/>
              </w:rPr>
              <w:t>ABOUT THIS PROSPECTUS</w:t>
            </w:r>
          </w:p>
        </w:tc>
        <w:tc>
          <w:tcPr>
            <w:tcW w:w="6220" w:type="dxa"/>
            <w:vAlign w:val="bottom"/>
            <w:gridSpan w:val="3"/>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S-1</w:t>
            </w:r>
          </w:p>
        </w:tc>
      </w:tr>
      <w:tr>
        <w:trPr>
          <w:trHeight w:val="337"/>
        </w:trPr>
        <w:tc>
          <w:tcPr>
            <w:tcW w:w="420" w:type="dxa"/>
            <w:vAlign w:val="bottom"/>
          </w:tcPr>
          <w:p>
            <w:pPr>
              <w:spacing w:after="0"/>
              <w:rPr>
                <w:sz w:val="24"/>
                <w:szCs w:val="24"/>
                <w:color w:val="auto"/>
              </w:rPr>
            </w:pPr>
          </w:p>
        </w:tc>
        <w:tc>
          <w:tcPr>
            <w:tcW w:w="75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20"/>
                <w:szCs w:val="20"/>
                <w:color w:val="0000EE"/>
              </w:rPr>
              <w:t>WHERE YOU CAN FIND MORE INFORMATION; INCORPORATION BYREFERENCE</w:t>
            </w:r>
          </w:p>
        </w:tc>
        <w:tc>
          <w:tcPr>
            <w:tcW w:w="11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S-3</w:t>
            </w:r>
          </w:p>
        </w:tc>
      </w:tr>
      <w:tr>
        <w:trPr>
          <w:trHeight w:val="337"/>
        </w:trPr>
        <w:tc>
          <w:tcPr>
            <w:tcW w:w="420" w:type="dxa"/>
            <w:vAlign w:val="bottom"/>
          </w:tcPr>
          <w:p>
            <w:pPr>
              <w:spacing w:after="0"/>
              <w:rPr>
                <w:sz w:val="24"/>
                <w:szCs w:val="24"/>
                <w:color w:val="auto"/>
              </w:rPr>
            </w:pPr>
          </w:p>
        </w:tc>
        <w:tc>
          <w:tcPr>
            <w:tcW w:w="8760" w:type="dxa"/>
            <w:vAlign w:val="bottom"/>
            <w:gridSpan w:val="14"/>
          </w:tcPr>
          <w:p>
            <w:pPr>
              <w:spacing w:after="0"/>
              <w:rPr>
                <w:sz w:val="20"/>
                <w:szCs w:val="20"/>
                <w:color w:val="auto"/>
              </w:rPr>
            </w:pPr>
            <w:r>
              <w:rPr>
                <w:rFonts w:ascii="Times New Roman" w:cs="Times New Roman" w:eastAsia="Times New Roman" w:hAnsi="Times New Roman"/>
                <w:sz w:val="20"/>
                <w:szCs w:val="20"/>
                <w:color w:val="0000EE"/>
              </w:rPr>
              <w:t>PROSPECTUS SUMMARY</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S-5</w:t>
            </w:r>
          </w:p>
        </w:tc>
      </w:tr>
      <w:tr>
        <w:trPr>
          <w:trHeight w:val="337"/>
        </w:trPr>
        <w:tc>
          <w:tcPr>
            <w:tcW w:w="420" w:type="dxa"/>
            <w:vAlign w:val="bottom"/>
          </w:tcPr>
          <w:p>
            <w:pPr>
              <w:spacing w:after="0"/>
              <w:rPr>
                <w:sz w:val="24"/>
                <w:szCs w:val="24"/>
                <w:color w:val="auto"/>
              </w:rPr>
            </w:pPr>
          </w:p>
        </w:tc>
        <w:tc>
          <w:tcPr>
            <w:tcW w:w="146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20"/>
                <w:szCs w:val="20"/>
                <w:color w:val="0000EE"/>
              </w:rPr>
              <w:t>THE OFFERING</w:t>
            </w:r>
          </w:p>
        </w:tc>
        <w:tc>
          <w:tcPr>
            <w:tcW w:w="900" w:type="dxa"/>
            <w:vAlign w:val="bottom"/>
            <w:tcBorders>
              <w:top w:val="single" w:sz="8" w:color="0000EE"/>
            </w:tcBorders>
            <w:gridSpan w:val="5"/>
          </w:tcPr>
          <w:p>
            <w:pPr>
              <w:spacing w:after="0"/>
              <w:rPr>
                <w:sz w:val="24"/>
                <w:szCs w:val="24"/>
                <w:color w:val="auto"/>
              </w:rPr>
            </w:pPr>
          </w:p>
        </w:tc>
        <w:tc>
          <w:tcPr>
            <w:tcW w:w="6400" w:type="dxa"/>
            <w:vAlign w:val="bottom"/>
            <w:gridSpan w:val="4"/>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S-6</w:t>
            </w:r>
          </w:p>
        </w:tc>
      </w:tr>
      <w:tr>
        <w:trPr>
          <w:trHeight w:val="337"/>
        </w:trPr>
        <w:tc>
          <w:tcPr>
            <w:tcW w:w="420" w:type="dxa"/>
            <w:vAlign w:val="bottom"/>
          </w:tcPr>
          <w:p>
            <w:pPr>
              <w:spacing w:after="0"/>
              <w:rPr>
                <w:sz w:val="24"/>
                <w:szCs w:val="24"/>
                <w:color w:val="auto"/>
              </w:rPr>
            </w:pPr>
          </w:p>
        </w:tc>
        <w:tc>
          <w:tcPr>
            <w:tcW w:w="8760" w:type="dxa"/>
            <w:vAlign w:val="bottom"/>
            <w:gridSpan w:val="14"/>
          </w:tcPr>
          <w:p>
            <w:pPr>
              <w:spacing w:after="0"/>
              <w:rPr>
                <w:sz w:val="20"/>
                <w:szCs w:val="20"/>
                <w:color w:val="auto"/>
              </w:rPr>
            </w:pPr>
            <w:r>
              <w:rPr>
                <w:rFonts w:ascii="Times New Roman" w:cs="Times New Roman" w:eastAsia="Times New Roman" w:hAnsi="Times New Roman"/>
                <w:sz w:val="20"/>
                <w:szCs w:val="20"/>
                <w:color w:val="0000EE"/>
              </w:rPr>
              <w:t>RISK FACTORS</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S-8</w:t>
            </w:r>
          </w:p>
        </w:tc>
      </w:tr>
      <w:tr>
        <w:trPr>
          <w:trHeight w:val="20"/>
        </w:trPr>
        <w:tc>
          <w:tcPr>
            <w:tcW w:w="4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37"/>
        </w:trPr>
        <w:tc>
          <w:tcPr>
            <w:tcW w:w="420" w:type="dxa"/>
            <w:vAlign w:val="bottom"/>
          </w:tcPr>
          <w:p>
            <w:pPr>
              <w:spacing w:after="0"/>
              <w:rPr>
                <w:sz w:val="24"/>
                <w:szCs w:val="24"/>
                <w:color w:val="auto"/>
              </w:rPr>
            </w:pPr>
          </w:p>
        </w:tc>
        <w:tc>
          <w:tcPr>
            <w:tcW w:w="65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20"/>
                <w:szCs w:val="20"/>
                <w:color w:val="0000EE"/>
              </w:rPr>
              <w:t>CAUTIONARY NOTE REGARDING FORWARD-LOOKING STATEMENTS</w:t>
            </w:r>
          </w:p>
        </w:tc>
        <w:tc>
          <w:tcPr>
            <w:tcW w:w="2200" w:type="dxa"/>
            <w:vAlign w:val="bottom"/>
            <w:gridSpan w:val="2"/>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S-11</w:t>
            </w:r>
          </w:p>
        </w:tc>
      </w:tr>
      <w:tr>
        <w:trPr>
          <w:trHeight w:val="337"/>
        </w:trPr>
        <w:tc>
          <w:tcPr>
            <w:tcW w:w="420" w:type="dxa"/>
            <w:vAlign w:val="bottom"/>
          </w:tcPr>
          <w:p>
            <w:pPr>
              <w:spacing w:after="0"/>
              <w:rPr>
                <w:sz w:val="24"/>
                <w:szCs w:val="24"/>
                <w:color w:val="auto"/>
              </w:rPr>
            </w:pPr>
          </w:p>
        </w:tc>
        <w:tc>
          <w:tcPr>
            <w:tcW w:w="18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20"/>
                <w:szCs w:val="20"/>
                <w:color w:val="0000EE"/>
              </w:rPr>
              <w:t>USE OF PROCEEDS</w:t>
            </w:r>
          </w:p>
        </w:tc>
        <w:tc>
          <w:tcPr>
            <w:tcW w:w="6940" w:type="dxa"/>
            <w:vAlign w:val="bottom"/>
            <w:gridSpan w:val="6"/>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S-14</w:t>
            </w:r>
          </w:p>
        </w:tc>
      </w:tr>
      <w:tr>
        <w:trPr>
          <w:trHeight w:val="337"/>
        </w:trPr>
        <w:tc>
          <w:tcPr>
            <w:tcW w:w="420" w:type="dxa"/>
            <w:vAlign w:val="bottom"/>
          </w:tcPr>
          <w:p>
            <w:pPr>
              <w:spacing w:after="0"/>
              <w:rPr>
                <w:sz w:val="24"/>
                <w:szCs w:val="24"/>
                <w:color w:val="auto"/>
              </w:rPr>
            </w:pPr>
          </w:p>
        </w:tc>
        <w:tc>
          <w:tcPr>
            <w:tcW w:w="18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20"/>
                <w:szCs w:val="20"/>
                <w:color w:val="0000EE"/>
              </w:rPr>
              <w:t>DIVIDEND POLICY</w:t>
            </w:r>
          </w:p>
        </w:tc>
        <w:tc>
          <w:tcPr>
            <w:tcW w:w="6960" w:type="dxa"/>
            <w:vAlign w:val="bottom"/>
            <w:gridSpan w:val="7"/>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S-15</w:t>
            </w:r>
          </w:p>
        </w:tc>
      </w:tr>
      <w:tr>
        <w:trPr>
          <w:trHeight w:val="337"/>
        </w:trPr>
        <w:tc>
          <w:tcPr>
            <w:tcW w:w="420" w:type="dxa"/>
            <w:vAlign w:val="bottom"/>
          </w:tcPr>
          <w:p>
            <w:pPr>
              <w:spacing w:after="0"/>
              <w:rPr>
                <w:sz w:val="24"/>
                <w:szCs w:val="24"/>
                <w:color w:val="auto"/>
              </w:rPr>
            </w:pPr>
          </w:p>
        </w:tc>
        <w:tc>
          <w:tcPr>
            <w:tcW w:w="8760" w:type="dxa"/>
            <w:vAlign w:val="bottom"/>
            <w:gridSpan w:val="14"/>
          </w:tcPr>
          <w:p>
            <w:pPr>
              <w:spacing w:after="0"/>
              <w:rPr>
                <w:sz w:val="20"/>
                <w:szCs w:val="20"/>
                <w:color w:val="auto"/>
              </w:rPr>
            </w:pPr>
            <w:r>
              <w:rPr>
                <w:rFonts w:ascii="Times New Roman" w:cs="Times New Roman" w:eastAsia="Times New Roman" w:hAnsi="Times New Roman"/>
                <w:sz w:val="20"/>
                <w:szCs w:val="20"/>
                <w:color w:val="0000EE"/>
              </w:rPr>
              <w:t>DILUTION</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S-16</w:t>
            </w:r>
          </w:p>
        </w:tc>
      </w:tr>
      <w:tr>
        <w:trPr>
          <w:trHeight w:val="20"/>
        </w:trPr>
        <w:tc>
          <w:tcPr>
            <w:tcW w:w="4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440" w:type="dxa"/>
            <w:vAlign w:val="bottom"/>
            <w:gridSpan w:val="5"/>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37"/>
        </w:trPr>
        <w:tc>
          <w:tcPr>
            <w:tcW w:w="420" w:type="dxa"/>
            <w:vAlign w:val="bottom"/>
          </w:tcPr>
          <w:p>
            <w:pPr>
              <w:spacing w:after="0"/>
              <w:rPr>
                <w:sz w:val="24"/>
                <w:szCs w:val="24"/>
                <w:color w:val="auto"/>
              </w:rPr>
            </w:pPr>
          </w:p>
        </w:tc>
        <w:tc>
          <w:tcPr>
            <w:tcW w:w="8760" w:type="dxa"/>
            <w:vAlign w:val="bottom"/>
            <w:gridSpan w:val="14"/>
          </w:tcPr>
          <w:p>
            <w:pPr>
              <w:spacing w:after="0"/>
              <w:rPr>
                <w:sz w:val="20"/>
                <w:szCs w:val="20"/>
                <w:color w:val="auto"/>
              </w:rPr>
            </w:pPr>
            <w:r>
              <w:rPr>
                <w:rFonts w:ascii="Times New Roman" w:cs="Times New Roman" w:eastAsia="Times New Roman" w:hAnsi="Times New Roman"/>
                <w:sz w:val="20"/>
                <w:szCs w:val="20"/>
                <w:color w:val="0000EE"/>
              </w:rPr>
              <w:t>PLAN OF DISTRIBUTION</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S-18</w:t>
            </w:r>
          </w:p>
        </w:tc>
      </w:tr>
      <w:tr>
        <w:trPr>
          <w:trHeight w:val="337"/>
        </w:trPr>
        <w:tc>
          <w:tcPr>
            <w:tcW w:w="420" w:type="dxa"/>
            <w:vAlign w:val="bottom"/>
          </w:tcPr>
          <w:p>
            <w:pPr>
              <w:spacing w:after="0"/>
              <w:rPr>
                <w:sz w:val="24"/>
                <w:szCs w:val="24"/>
                <w:color w:val="auto"/>
              </w:rPr>
            </w:pPr>
          </w:p>
        </w:tc>
        <w:tc>
          <w:tcPr>
            <w:tcW w:w="166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20"/>
                <w:szCs w:val="20"/>
                <w:color w:val="0000EE"/>
              </w:rPr>
              <w:t>LEGAL MATTERS</w:t>
            </w:r>
          </w:p>
        </w:tc>
        <w:tc>
          <w:tcPr>
            <w:tcW w:w="660" w:type="dxa"/>
            <w:vAlign w:val="bottom"/>
            <w:tcBorders>
              <w:top w:val="single" w:sz="8" w:color="0000EE"/>
            </w:tcBorders>
            <w:gridSpan w:val="3"/>
          </w:tcPr>
          <w:p>
            <w:pPr>
              <w:spacing w:after="0"/>
              <w:rPr>
                <w:sz w:val="24"/>
                <w:szCs w:val="24"/>
                <w:color w:val="auto"/>
              </w:rPr>
            </w:pPr>
          </w:p>
        </w:tc>
        <w:tc>
          <w:tcPr>
            <w:tcW w:w="6440" w:type="dxa"/>
            <w:vAlign w:val="bottom"/>
            <w:gridSpan w:val="5"/>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S-20</w:t>
            </w:r>
          </w:p>
        </w:tc>
      </w:tr>
      <w:tr>
        <w:trPr>
          <w:trHeight w:val="337"/>
        </w:trPr>
        <w:tc>
          <w:tcPr>
            <w:tcW w:w="420" w:type="dxa"/>
            <w:vAlign w:val="bottom"/>
          </w:tcPr>
          <w:p>
            <w:pPr>
              <w:spacing w:after="0"/>
              <w:rPr>
                <w:sz w:val="24"/>
                <w:szCs w:val="24"/>
                <w:color w:val="auto"/>
              </w:rPr>
            </w:pPr>
          </w:p>
        </w:tc>
        <w:tc>
          <w:tcPr>
            <w:tcW w:w="8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20"/>
                <w:szCs w:val="20"/>
                <w:color w:val="0000EE"/>
                <w:w w:val="99"/>
              </w:rPr>
              <w:t>EXPERTS</w:t>
            </w:r>
          </w:p>
        </w:tc>
        <w:tc>
          <w:tcPr>
            <w:tcW w:w="7880" w:type="dxa"/>
            <w:vAlign w:val="bottom"/>
            <w:gridSpan w:val="12"/>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S-20</w:t>
            </w:r>
          </w:p>
        </w:tc>
      </w:tr>
    </w:tbl>
    <w:p>
      <w:pPr>
        <w:jc w:val="right"/>
        <w:spacing w:after="0"/>
        <w:rPr>
          <w:sz w:val="20"/>
          <w:szCs w:val="20"/>
          <w:color w:val="auto"/>
        </w:rPr>
        <w:sectPr>
          <w:pgSz w:w="11900" w:h="16838" w:orient="portrait"/>
          <w:cols w:equalWidth="0" w:num="1">
            <w:col w:w="10760"/>
          </w:cols>
          <w:pgMar w:left="320" w:top="428" w:right="819" w:bottom="1440" w:gutter="0" w:footer="0" w:header="0"/>
        </w:sect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9">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b w:val="1"/>
          <w:bCs w:val="1"/>
          <w:color w:val="auto"/>
        </w:rPr>
        <w:t>ABOUT THIS PROSPECTUS</w:t>
      </w:r>
    </w:p>
    <w:p>
      <w:pPr>
        <w:spacing w:after="0" w:line="207" w:lineRule="exact"/>
        <w:rPr>
          <w:sz w:val="20"/>
          <w:szCs w:val="20"/>
          <w:color w:val="auto"/>
        </w:rPr>
      </w:pPr>
    </w:p>
    <w:p>
      <w:pPr>
        <w:ind w:left="420" w:right="180"/>
        <w:spacing w:after="0" w:line="251" w:lineRule="auto"/>
        <w:rPr>
          <w:sz w:val="20"/>
          <w:szCs w:val="20"/>
          <w:color w:val="auto"/>
        </w:rPr>
      </w:pPr>
      <w:r>
        <w:rPr>
          <w:rFonts w:ascii="Times New Roman" w:cs="Times New Roman" w:eastAsia="Times New Roman" w:hAnsi="Times New Roman"/>
          <w:sz w:val="20"/>
          <w:szCs w:val="20"/>
          <w:color w:val="auto"/>
        </w:rPr>
        <w:t>This prospectus is part of a registration statement on Form S-3 that we have filed with the U.S. Securities and Exchange Commission, or the SEC, utilizing a “shelf” registration process. By using a shelf registration statement, we may offer shares of our common stock having an aggregate offering price of up to $14.65 million from time to time under this prospectus at prices and on terms to be determined by market conditions at the time of offering.</w:t>
      </w:r>
    </w:p>
    <w:p>
      <w:pPr>
        <w:spacing w:after="0" w:line="159" w:lineRule="exact"/>
        <w:rPr>
          <w:sz w:val="20"/>
          <w:szCs w:val="20"/>
          <w:color w:val="auto"/>
        </w:rPr>
      </w:pPr>
    </w:p>
    <w:p>
      <w:pPr>
        <w:ind w:left="420" w:right="40"/>
        <w:spacing w:after="0" w:line="242" w:lineRule="auto"/>
        <w:rPr>
          <w:sz w:val="20"/>
          <w:szCs w:val="20"/>
          <w:color w:val="auto"/>
        </w:rPr>
      </w:pPr>
      <w:r>
        <w:rPr>
          <w:rFonts w:ascii="Times New Roman" w:cs="Times New Roman" w:eastAsia="Times New Roman" w:hAnsi="Times New Roman"/>
          <w:sz w:val="20"/>
          <w:szCs w:val="20"/>
          <w:color w:val="auto"/>
        </w:rPr>
        <w:t>We have not, and HCW has not, authorized anyone to provide you with information other than that contained, or incorporated by reference, in this prospectus and any prospectus supplement and your reliance on any unauthorized information or representation is at your own risk. We are not, and HCW is not, making an offer to sell or soliciting any offer to buy our common stock in any jurisdiction where the offer or sale is not permitted or in which the person making that offer or solicitation is not qualified to do so or to anyone to whom it is unlawful to make an offer or solicitation. You should assume that the information appearing in this prospectus, the accompanying base prospectus, the documents incorporated by reference herein and therein and any prospectus supplement or free writing prospectus that we have authorized for use in connection with this offering is accurate only as of the date of those respective documents. Our business, financial condition, results of operations and prospects may have changed since those dates. You should read this prospectus, the documents incorporated by reference herein and therein and any free writing prospectus that we have authorized for use in connection with this offering in their entirety before making an investment decision.</w:t>
      </w:r>
    </w:p>
    <w:p>
      <w:pPr>
        <w:spacing w:after="0" w:line="174" w:lineRule="exact"/>
        <w:rPr>
          <w:sz w:val="20"/>
          <w:szCs w:val="20"/>
          <w:color w:val="auto"/>
        </w:rPr>
      </w:pPr>
    </w:p>
    <w:p>
      <w:pPr>
        <w:ind w:left="420" w:right="220"/>
        <w:spacing w:after="0" w:line="251" w:lineRule="auto"/>
        <w:rPr>
          <w:sz w:val="20"/>
          <w:szCs w:val="20"/>
          <w:color w:val="auto"/>
        </w:rPr>
      </w:pPr>
      <w:r>
        <w:rPr>
          <w:rFonts w:ascii="Times New Roman" w:cs="Times New Roman" w:eastAsia="Times New Roman" w:hAnsi="Times New Roman"/>
          <w:sz w:val="20"/>
          <w:szCs w:val="20"/>
          <w:color w:val="auto"/>
        </w:rPr>
        <w:t>Before buying any of the common stock that we are offering, we urge you to carefully read this prospectus and all of the information incorporated by reference herein and therein, as well as the additional information described under the heading “Where You Can Find More Information; Incorporation by Reference.” These documents contain important information that you should consider when making your investment decision.</w:t>
      </w:r>
    </w:p>
    <w:p>
      <w:pPr>
        <w:spacing w:after="0" w:line="159" w:lineRule="exact"/>
        <w:rPr>
          <w:sz w:val="20"/>
          <w:szCs w:val="20"/>
          <w:color w:val="auto"/>
        </w:rPr>
      </w:pPr>
    </w:p>
    <w:p>
      <w:pPr>
        <w:ind w:left="420"/>
        <w:spacing w:after="0" w:line="245" w:lineRule="auto"/>
        <w:rPr>
          <w:sz w:val="20"/>
          <w:szCs w:val="20"/>
          <w:color w:val="auto"/>
        </w:rPr>
      </w:pPr>
      <w:r>
        <w:rPr>
          <w:rFonts w:ascii="Times New Roman" w:cs="Times New Roman" w:eastAsia="Times New Roman" w:hAnsi="Times New Roman"/>
          <w:sz w:val="20"/>
          <w:szCs w:val="20"/>
          <w:color w:val="auto"/>
        </w:rPr>
        <w:t>We are offering to sell, and seeking offers to buy, shares of common stock only in jurisdictions where offers and sales are permitted. The distribution of this prospectus and the offering of the common stock in certain jurisdictions may be restricted by law. Persons outside the United States who come into possession of this prospectus must inform themselves about, and observe any restrictions relating to, the offering of the common stock and the distribution of this prospectus outside the United States. This prospectus does not constitute, and may not be used in connection with, an offer to sell, or a solicitation of an offer to buy, any securities offered by this prospectus by any person in any jurisdiction in which it is unlawful for such person to make such an offer or solicitation.</w:t>
      </w:r>
    </w:p>
    <w:p>
      <w:pPr>
        <w:spacing w:after="0" w:line="165" w:lineRule="exact"/>
        <w:rPr>
          <w:sz w:val="20"/>
          <w:szCs w:val="20"/>
          <w:color w:val="auto"/>
        </w:rPr>
      </w:pPr>
    </w:p>
    <w:p>
      <w:pPr>
        <w:jc w:val="both"/>
        <w:ind w:left="420" w:right="320"/>
        <w:spacing w:after="0" w:line="257" w:lineRule="auto"/>
        <w:rPr>
          <w:sz w:val="20"/>
          <w:szCs w:val="20"/>
          <w:color w:val="auto"/>
        </w:rPr>
      </w:pPr>
      <w:r>
        <w:rPr>
          <w:rFonts w:ascii="Times New Roman" w:cs="Times New Roman" w:eastAsia="Times New Roman" w:hAnsi="Times New Roman"/>
          <w:sz w:val="20"/>
          <w:szCs w:val="20"/>
          <w:color w:val="auto"/>
        </w:rPr>
        <w:t>When we refer to “T2 Biosystems,” “we,” “our,” “us” and the “Company” in this prospectus, we mean T2 Biosystems, Inc. and its consolidated subsidiaries, unless otherwise specified. When we refer to “you,” we mean the potential holders of the common stock being offered and sold pursuant to this prospectus.</w:t>
      </w:r>
    </w:p>
    <w:p>
      <w:pPr>
        <w:spacing w:after="0" w:line="8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S-1</w:t>
      </w:r>
    </w:p>
    <w:p>
      <w:pPr>
        <w:sectPr>
          <w:pgSz w:w="11900" w:h="16838" w:orient="portrait"/>
          <w:cols w:equalWidth="0" w:num="1">
            <w:col w:w="10800"/>
          </w:cols>
          <w:pgMar w:left="320" w:top="437" w:right="7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0">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6" w:lineRule="exact"/>
        <w:rPr>
          <w:sz w:val="20"/>
          <w:szCs w:val="20"/>
          <w:color w:val="auto"/>
        </w:rPr>
      </w:pPr>
    </w:p>
    <w:p>
      <w:pPr>
        <w:ind w:left="420"/>
        <w:spacing w:after="0" w:line="248" w:lineRule="auto"/>
        <w:rPr>
          <w:sz w:val="20"/>
          <w:szCs w:val="20"/>
          <w:color w:val="auto"/>
        </w:rPr>
      </w:pPr>
      <w:r>
        <w:rPr>
          <w:rFonts w:ascii="Times New Roman" w:cs="Times New Roman" w:eastAsia="Times New Roman" w:hAnsi="Times New Roman"/>
          <w:sz w:val="20"/>
          <w:szCs w:val="20"/>
          <w:color w:val="auto"/>
        </w:rPr>
        <w:t xml:space="preserve">We have proprietary rights to trademarks, trade names and service marks appearing in this prospectus that are important to our business. This prospectus also includes trademarks, tradenames and service marks that are the property of other organizations. Solely for convenience, trademarks and tradenames referred to in this prospectus appear without the </w:t>
      </w:r>
      <w:r>
        <w:rPr>
          <w:rFonts w:ascii="Times New Roman" w:cs="Times New Roman" w:eastAsia="Times New Roman" w:hAnsi="Times New Roman"/>
          <w:sz w:val="15"/>
          <w:szCs w:val="15"/>
          <w:color w:val="auto"/>
        </w:rPr>
        <w:t>®</w:t>
      </w:r>
      <w:r>
        <w:rPr>
          <w:rFonts w:ascii="Times New Roman" w:cs="Times New Roman" w:eastAsia="Times New Roman" w:hAnsi="Times New Roman"/>
          <w:sz w:val="20"/>
          <w:szCs w:val="20"/>
          <w:color w:val="auto"/>
        </w:rPr>
        <w:t xml:space="preserve"> and TM symbols, but those references are not intended to indicate, in any way, that we will not assert, to the fullest extent under applicable law, our rights or that the applicable owner will not assert its rights, to these trademarks and tradenames.</w:t>
      </w:r>
    </w:p>
    <w:p>
      <w:pPr>
        <w:spacing w:after="0" w:line="98"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0"/>
          <w:szCs w:val="20"/>
          <w:color w:val="auto"/>
        </w:rPr>
        <w:t>S-2</w:t>
      </w:r>
    </w:p>
    <w:p>
      <w:pPr>
        <w:sectPr>
          <w:pgSz w:w="11900" w:h="16838" w:orient="portrait"/>
          <w:cols w:equalWidth="0" w:num="1">
            <w:col w:w="10740"/>
          </w:cols>
          <w:pgMar w:left="320" w:top="437" w:right="8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1">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2" w:lineRule="exact"/>
        <w:rPr>
          <w:sz w:val="20"/>
          <w:szCs w:val="20"/>
          <w:color w:val="auto"/>
        </w:rPr>
      </w:pPr>
    </w:p>
    <w:p>
      <w:pPr>
        <w:ind w:left="420" w:right="1040" w:firstLine="1153"/>
        <w:spacing w:after="0" w:line="400" w:lineRule="auto"/>
        <w:rPr>
          <w:sz w:val="20"/>
          <w:szCs w:val="20"/>
          <w:color w:val="auto"/>
        </w:rPr>
      </w:pPr>
      <w:r>
        <w:rPr>
          <w:rFonts w:ascii="Times New Roman" w:cs="Times New Roman" w:eastAsia="Times New Roman" w:hAnsi="Times New Roman"/>
          <w:sz w:val="20"/>
          <w:szCs w:val="20"/>
          <w:b w:val="1"/>
          <w:bCs w:val="1"/>
          <w:color w:val="auto"/>
        </w:rPr>
        <w:t>WHERE YOU CAN FIND MORE INFORMATION; INCORPORATION BY REFERENCE Available Information</w:t>
      </w:r>
    </w:p>
    <w:p>
      <w:pPr>
        <w:spacing w:after="0" w:line="1" w:lineRule="exact"/>
        <w:rPr>
          <w:sz w:val="20"/>
          <w:szCs w:val="20"/>
          <w:color w:val="auto"/>
        </w:rPr>
      </w:pPr>
    </w:p>
    <w:p>
      <w:pPr>
        <w:ind w:left="420" w:right="180"/>
        <w:spacing w:after="0" w:line="257" w:lineRule="auto"/>
        <w:rPr>
          <w:sz w:val="20"/>
          <w:szCs w:val="20"/>
          <w:color w:val="auto"/>
        </w:rPr>
      </w:pPr>
      <w:r>
        <w:rPr>
          <w:rFonts w:ascii="Times New Roman" w:cs="Times New Roman" w:eastAsia="Times New Roman" w:hAnsi="Times New Roman"/>
          <w:sz w:val="20"/>
          <w:szCs w:val="20"/>
          <w:color w:val="auto"/>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w:t>
      </w:r>
      <w:r>
        <w:rPr>
          <w:rFonts w:ascii="Times New Roman" w:cs="Times New Roman" w:eastAsia="Times New Roman" w:hAnsi="Times New Roman"/>
          <w:sz w:val="20"/>
          <w:szCs w:val="20"/>
          <w:i w:val="1"/>
          <w:iCs w:val="1"/>
          <w:color w:val="auto"/>
        </w:rPr>
        <w:t>www.sec.gov</w:t>
      </w:r>
      <w:r>
        <w:rPr>
          <w:rFonts w:ascii="Times New Roman" w:cs="Times New Roman" w:eastAsia="Times New Roman" w:hAnsi="Times New Roman"/>
          <w:sz w:val="20"/>
          <w:szCs w:val="20"/>
          <w:color w:val="auto"/>
        </w:rPr>
        <w:t>.</w:t>
      </w:r>
    </w:p>
    <w:p>
      <w:pPr>
        <w:spacing w:after="0" w:line="149" w:lineRule="exact"/>
        <w:rPr>
          <w:sz w:val="20"/>
          <w:szCs w:val="20"/>
          <w:color w:val="auto"/>
        </w:rPr>
      </w:pPr>
    </w:p>
    <w:p>
      <w:pPr>
        <w:ind w:left="420" w:right="220"/>
        <w:spacing w:after="0" w:line="280" w:lineRule="auto"/>
        <w:rPr>
          <w:sz w:val="20"/>
          <w:szCs w:val="20"/>
          <w:color w:val="auto"/>
        </w:rPr>
      </w:pPr>
      <w:r>
        <w:rPr>
          <w:rFonts w:ascii="Times New Roman" w:cs="Times New Roman" w:eastAsia="Times New Roman" w:hAnsi="Times New Roman"/>
          <w:sz w:val="20"/>
          <w:szCs w:val="20"/>
          <w:color w:val="auto"/>
        </w:rPr>
        <w:t xml:space="preserve">Our website address is </w:t>
      </w:r>
      <w:r>
        <w:rPr>
          <w:rFonts w:ascii="Times New Roman" w:cs="Times New Roman" w:eastAsia="Times New Roman" w:hAnsi="Times New Roman"/>
          <w:sz w:val="20"/>
          <w:szCs w:val="20"/>
          <w:i w:val="1"/>
          <w:iCs w:val="1"/>
          <w:color w:val="auto"/>
        </w:rPr>
        <w:t>www.t2biosystems.com</w:t>
      </w:r>
      <w:r>
        <w:rPr>
          <w:rFonts w:ascii="Times New Roman" w:cs="Times New Roman" w:eastAsia="Times New Roman" w:hAnsi="Times New Roman"/>
          <w:sz w:val="20"/>
          <w:szCs w:val="20"/>
          <w:color w:val="auto"/>
        </w:rPr>
        <w:t>. The information on our website, however, is not, deemed to be a part of this prospectus.</w:t>
      </w:r>
    </w:p>
    <w:p>
      <w:pPr>
        <w:spacing w:after="0" w:line="130" w:lineRule="exact"/>
        <w:rPr>
          <w:sz w:val="20"/>
          <w:szCs w:val="20"/>
          <w:color w:val="auto"/>
        </w:rPr>
      </w:pPr>
    </w:p>
    <w:p>
      <w:pPr>
        <w:ind w:left="420" w:right="40"/>
        <w:spacing w:after="0" w:line="246" w:lineRule="auto"/>
        <w:rPr>
          <w:sz w:val="20"/>
          <w:szCs w:val="20"/>
          <w:color w:val="auto"/>
        </w:rPr>
      </w:pPr>
      <w:r>
        <w:rPr>
          <w:rFonts w:ascii="Times New Roman" w:cs="Times New Roman" w:eastAsia="Times New Roman" w:hAnsi="Times New Roman"/>
          <w:sz w:val="20"/>
          <w:szCs w:val="20"/>
          <w:color w:val="auto"/>
        </w:rPr>
        <w:t>This prospectus is part of a registration statement that we filed with the SEC and do not contain all of the information in the registration statement. The full registration statement may be obtained from the SEC or us as provided below. Documents establishing the terms of the offered securities are or may be filed as exhibits to the registration statement. Statements in this prospectus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2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auto"/>
        </w:rPr>
        <w:t>Incorporation by Reference</w:t>
      </w:r>
    </w:p>
    <w:p>
      <w:pPr>
        <w:spacing w:after="0" w:line="105" w:lineRule="exact"/>
        <w:rPr>
          <w:sz w:val="20"/>
          <w:szCs w:val="20"/>
          <w:color w:val="auto"/>
        </w:rPr>
      </w:pPr>
    </w:p>
    <w:p>
      <w:pPr>
        <w:ind w:left="420"/>
        <w:spacing w:after="0" w:line="246" w:lineRule="auto"/>
        <w:rPr>
          <w:sz w:val="20"/>
          <w:szCs w:val="20"/>
          <w:color w:val="auto"/>
        </w:rPr>
      </w:pPr>
      <w:r>
        <w:rPr>
          <w:rFonts w:ascii="Times New Roman" w:cs="Times New Roman" w:eastAsia="Times New Roman" w:hAnsi="Times New Roman"/>
          <w:sz w:val="20"/>
          <w:szCs w:val="20"/>
          <w:color w:val="auto"/>
        </w:rPr>
        <w:t>The SEC’s rules allow us to “incorporate by reference” information in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65" w:lineRule="exact"/>
        <w:rPr>
          <w:sz w:val="20"/>
          <w:szCs w:val="20"/>
          <w:color w:val="auto"/>
        </w:rPr>
      </w:pPr>
    </w:p>
    <w:p>
      <w:pPr>
        <w:ind w:left="420" w:right="120"/>
        <w:spacing w:after="0" w:line="276" w:lineRule="auto"/>
        <w:rPr>
          <w:sz w:val="20"/>
          <w:szCs w:val="20"/>
          <w:color w:val="auto"/>
        </w:rPr>
      </w:pPr>
      <w:r>
        <w:rPr>
          <w:rFonts w:ascii="Times New Roman" w:cs="Times New Roman" w:eastAsia="Times New Roman" w:hAnsi="Times New Roman"/>
          <w:sz w:val="20"/>
          <w:szCs w:val="20"/>
          <w:color w:val="auto"/>
        </w:rPr>
        <w:t>This prospectus incorporates by reference the documents set forth below that have previously been filed with the SEC (other than those documents or the portions of those documents deemed furnished and not to be filed):</w:t>
      </w:r>
    </w:p>
    <w:p>
      <w:pPr>
        <w:spacing w:after="0" w:line="159" w:lineRule="exact"/>
        <w:rPr>
          <w:sz w:val="20"/>
          <w:szCs w:val="20"/>
          <w:color w:val="auto"/>
        </w:rPr>
      </w:pPr>
    </w:p>
    <w:p>
      <w:pPr>
        <w:ind w:left="1240" w:hanging="404"/>
        <w:spacing w:after="0"/>
        <w:tabs>
          <w:tab w:leader="none" w:pos="12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Our Annual Report on </w:t>
      </w:r>
      <w:hyperlink r:id="rId27">
        <w:r>
          <w:rPr>
            <w:rFonts w:ascii="Times New Roman" w:cs="Times New Roman" w:eastAsia="Times New Roman" w:hAnsi="Times New Roman"/>
            <w:sz w:val="20"/>
            <w:szCs w:val="20"/>
            <w:u w:val="single" w:color="auto"/>
            <w:color w:val="0000EE"/>
          </w:rPr>
          <w:t>Form 10-K</w:t>
        </w:r>
        <w:r>
          <w:rPr>
            <w:rFonts w:ascii="Times New Roman" w:cs="Times New Roman" w:eastAsia="Times New Roman" w:hAnsi="Times New Roman"/>
            <w:sz w:val="20"/>
            <w:szCs w:val="20"/>
            <w:u w:val="single" w:color="auto"/>
            <w:color w:val="auto"/>
          </w:rPr>
          <w:t xml:space="preserve"> </w:t>
        </w:r>
      </w:hyperlink>
      <w:r>
        <w:rPr>
          <w:rFonts w:ascii="Times New Roman" w:cs="Times New Roman" w:eastAsia="Times New Roman" w:hAnsi="Times New Roman"/>
          <w:sz w:val="20"/>
          <w:szCs w:val="20"/>
          <w:color w:val="auto"/>
        </w:rPr>
        <w:t>for the year ended December 31, 2023, filed with the SEC on April 1, 2024.</w:t>
      </w:r>
    </w:p>
    <w:p>
      <w:pPr>
        <w:spacing w:after="0" w:line="22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Our Quarterly Report on Form 10-Q for the quarter ended March 31, 2024, filed with the SEC on </w:t>
      </w:r>
      <w:hyperlink r:id="rId28">
        <w:r>
          <w:rPr>
            <w:rFonts w:ascii="Times New Roman" w:cs="Times New Roman" w:eastAsia="Times New Roman" w:hAnsi="Times New Roman"/>
            <w:sz w:val="20"/>
            <w:szCs w:val="20"/>
            <w:u w:val="single" w:color="auto"/>
            <w:color w:val="0000EE"/>
          </w:rPr>
          <w:t>May 6, 2024</w:t>
        </w:r>
      </w:hyperlink>
      <w:r>
        <w:rPr>
          <w:rFonts w:ascii="Times New Roman" w:cs="Times New Roman" w:eastAsia="Times New Roman" w:hAnsi="Times New Roman"/>
          <w:sz w:val="20"/>
          <w:szCs w:val="20"/>
          <w:color w:val="auto"/>
        </w:rPr>
        <w:t>.</w:t>
      </w:r>
    </w:p>
    <w:p>
      <w:pPr>
        <w:spacing w:after="0" w:line="228" w:lineRule="exact"/>
        <w:rPr>
          <w:rFonts w:ascii="Times New Roman" w:cs="Times New Roman" w:eastAsia="Times New Roman" w:hAnsi="Times New Roman"/>
          <w:sz w:val="20"/>
          <w:szCs w:val="20"/>
          <w:color w:val="auto"/>
        </w:rPr>
      </w:pPr>
    </w:p>
    <w:p>
      <w:pPr>
        <w:ind w:left="1240" w:right="460" w:hanging="404"/>
        <w:spacing w:after="0" w:line="257" w:lineRule="auto"/>
        <w:tabs>
          <w:tab w:leader="none" w:pos="1240" w:val="left"/>
        </w:tabs>
        <w:numPr>
          <w:ilvl w:val="0"/>
          <w:numId w:val="28"/>
        </w:numPr>
        <w:rPr>
          <w:rFonts w:ascii="Times New Roman" w:cs="Times New Roman" w:eastAsia="Times New Roman" w:hAnsi="Times New Roman"/>
          <w:sz w:val="20"/>
          <w:szCs w:val="20"/>
          <w:color w:val="0000EE"/>
        </w:rPr>
      </w:pPr>
      <w:r>
        <w:rPr>
          <w:rFonts w:ascii="Times New Roman" w:cs="Times New Roman" w:eastAsia="Times New Roman" w:hAnsi="Times New Roman"/>
          <w:sz w:val="20"/>
          <w:szCs w:val="20"/>
          <w:color w:val="auto"/>
        </w:rPr>
        <w:t xml:space="preserve">Our Current Reports on Form 8-K filed with the SEC on </w:t>
      </w:r>
      <w:hyperlink r:id="rId30">
        <w:r>
          <w:rPr>
            <w:rFonts w:ascii="Times New Roman" w:cs="Times New Roman" w:eastAsia="Times New Roman" w:hAnsi="Times New Roman"/>
            <w:sz w:val="20"/>
            <w:szCs w:val="20"/>
            <w:u w:val="single" w:color="auto"/>
            <w:color w:val="0000EE"/>
          </w:rPr>
          <w:t>January 5, 2024</w:t>
        </w:r>
      </w:hyperlink>
      <w:r>
        <w:rPr>
          <w:rFonts w:ascii="Times New Roman" w:cs="Times New Roman" w:eastAsia="Times New Roman" w:hAnsi="Times New Roman"/>
          <w:sz w:val="20"/>
          <w:szCs w:val="20"/>
          <w:color w:val="auto"/>
        </w:rPr>
        <w:t xml:space="preserve">, </w:t>
      </w:r>
      <w:hyperlink r:id="rId31">
        <w:r>
          <w:rPr>
            <w:rFonts w:ascii="Times New Roman" w:cs="Times New Roman" w:eastAsia="Times New Roman" w:hAnsi="Times New Roman"/>
            <w:sz w:val="20"/>
            <w:szCs w:val="20"/>
            <w:u w:val="single" w:color="auto"/>
            <w:color w:val="0000EE"/>
          </w:rPr>
          <w:t>February 15, 2024</w:t>
        </w:r>
      </w:hyperlink>
      <w:r>
        <w:rPr>
          <w:rFonts w:ascii="Times New Roman" w:cs="Times New Roman" w:eastAsia="Times New Roman" w:hAnsi="Times New Roman"/>
          <w:sz w:val="20"/>
          <w:szCs w:val="20"/>
          <w:color w:val="auto"/>
        </w:rPr>
        <w:t xml:space="preserve">, </w:t>
      </w:r>
      <w:hyperlink r:id="rId32">
        <w:r>
          <w:rPr>
            <w:rFonts w:ascii="Times New Roman" w:cs="Times New Roman" w:eastAsia="Times New Roman" w:hAnsi="Times New Roman"/>
            <w:sz w:val="20"/>
            <w:szCs w:val="20"/>
            <w:u w:val="single" w:color="auto"/>
            <w:color w:val="0000EE"/>
          </w:rPr>
          <w:t>March 12, 2024</w:t>
        </w:r>
      </w:hyperlink>
      <w:r>
        <w:rPr>
          <w:rFonts w:ascii="Times New Roman" w:cs="Times New Roman" w:eastAsia="Times New Roman" w:hAnsi="Times New Roman"/>
          <w:sz w:val="20"/>
          <w:szCs w:val="20"/>
          <w:color w:val="auto"/>
        </w:rPr>
        <w:t xml:space="preserve">, </w:t>
      </w:r>
      <w:hyperlink r:id="rId33">
        <w:r>
          <w:rPr>
            <w:rFonts w:ascii="Times New Roman" w:cs="Times New Roman" w:eastAsia="Times New Roman" w:hAnsi="Times New Roman"/>
            <w:sz w:val="20"/>
            <w:szCs w:val="20"/>
            <w:u w:val="single" w:color="auto"/>
            <w:color w:val="0000EE"/>
          </w:rPr>
          <w:t>March 18, 2024</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hyperlink r:id="rId34">
        <w:r>
          <w:rPr>
            <w:rFonts w:ascii="Times New Roman" w:cs="Times New Roman" w:eastAsia="Times New Roman" w:hAnsi="Times New Roman"/>
            <w:sz w:val="20"/>
            <w:szCs w:val="20"/>
            <w:u w:val="single" w:color="auto"/>
            <w:color w:val="0000EE"/>
          </w:rPr>
          <w:t>March 20, 2024</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hyperlink r:id="rId36">
        <w:r>
          <w:rPr>
            <w:rFonts w:ascii="Times New Roman" w:cs="Times New Roman" w:eastAsia="Times New Roman" w:hAnsi="Times New Roman"/>
            <w:sz w:val="20"/>
            <w:szCs w:val="20"/>
            <w:u w:val="single" w:color="auto"/>
            <w:color w:val="0000EE"/>
          </w:rPr>
          <w:t>April 12, 2024</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hyperlink r:id="rId37">
        <w:r>
          <w:rPr>
            <w:rFonts w:ascii="Times New Roman" w:cs="Times New Roman" w:eastAsia="Times New Roman" w:hAnsi="Times New Roman"/>
            <w:sz w:val="20"/>
            <w:szCs w:val="20"/>
            <w:u w:val="single" w:color="auto"/>
            <w:color w:val="0000EE"/>
          </w:rPr>
          <w:t>April 18, 2024</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hyperlink r:id="rId38">
        <w:r>
          <w:rPr>
            <w:rFonts w:ascii="Times New Roman" w:cs="Times New Roman" w:eastAsia="Times New Roman" w:hAnsi="Times New Roman"/>
            <w:sz w:val="20"/>
            <w:szCs w:val="20"/>
            <w:u w:val="single" w:color="auto"/>
            <w:color w:val="0000EE"/>
          </w:rPr>
          <w:t>May 6, 2024</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hyperlink r:id="rId39">
        <w:r>
          <w:rPr>
            <w:rFonts w:ascii="Times New Roman" w:cs="Times New Roman" w:eastAsia="Times New Roman" w:hAnsi="Times New Roman"/>
            <w:sz w:val="20"/>
            <w:szCs w:val="20"/>
            <w:u w:val="single" w:color="auto"/>
            <w:color w:val="0000EE"/>
          </w:rPr>
          <w:t>May 7, 2024</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hyperlink r:id="rId40">
        <w:r>
          <w:rPr>
            <w:rFonts w:ascii="Times New Roman" w:cs="Times New Roman" w:eastAsia="Times New Roman" w:hAnsi="Times New Roman"/>
            <w:sz w:val="20"/>
            <w:szCs w:val="20"/>
            <w:u w:val="single" w:color="auto"/>
            <w:color w:val="0000EE"/>
          </w:rPr>
          <w:t>May 14, 2024</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hyperlink r:id="rId41">
        <w:r>
          <w:rPr>
            <w:rFonts w:ascii="Times New Roman" w:cs="Times New Roman" w:eastAsia="Times New Roman" w:hAnsi="Times New Roman"/>
            <w:sz w:val="20"/>
            <w:szCs w:val="20"/>
            <w:u w:val="single" w:color="auto"/>
            <w:color w:val="0000EE"/>
          </w:rPr>
          <w:t>May 20, 2024</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hyperlink r:id="rId42">
        <w:r>
          <w:rPr>
            <w:rFonts w:ascii="Times New Roman" w:cs="Times New Roman" w:eastAsia="Times New Roman" w:hAnsi="Times New Roman"/>
            <w:sz w:val="20"/>
            <w:szCs w:val="20"/>
            <w:u w:val="single" w:color="auto"/>
            <w:color w:val="0000EE"/>
          </w:rPr>
          <w:t xml:space="preserve">May 22, 2024 </w:t>
        </w:r>
      </w:hyperlink>
      <w:r>
        <w:rPr>
          <w:rFonts w:ascii="Times New Roman" w:cs="Times New Roman" w:eastAsia="Times New Roman" w:hAnsi="Times New Roman"/>
          <w:sz w:val="20"/>
          <w:szCs w:val="20"/>
          <w:color w:val="000000"/>
        </w:rPr>
        <w:t>and</w:t>
      </w:r>
      <w:r>
        <w:rPr>
          <w:rFonts w:ascii="Times New Roman" w:cs="Times New Roman" w:eastAsia="Times New Roman" w:hAnsi="Times New Roman"/>
          <w:sz w:val="20"/>
          <w:szCs w:val="20"/>
          <w:color w:val="0000EE"/>
        </w:rPr>
        <w:t xml:space="preserve"> </w:t>
      </w:r>
      <w:hyperlink r:id="rId43">
        <w:r>
          <w:rPr>
            <w:rFonts w:ascii="Times New Roman" w:cs="Times New Roman" w:eastAsia="Times New Roman" w:hAnsi="Times New Roman"/>
            <w:sz w:val="20"/>
            <w:szCs w:val="20"/>
            <w:u w:val="single" w:color="auto"/>
            <w:color w:val="0000EE"/>
          </w:rPr>
          <w:t>July 19, 2024</w:t>
        </w:r>
      </w:hyperlink>
      <w:r>
        <w:rPr>
          <w:rFonts w:ascii="Times New Roman" w:cs="Times New Roman" w:eastAsia="Times New Roman" w:hAnsi="Times New Roman"/>
          <w:sz w:val="20"/>
          <w:szCs w:val="20"/>
          <w:color w:val="000000"/>
        </w:rPr>
        <w:t>.</w:t>
      </w:r>
    </w:p>
    <w:p>
      <w:pPr>
        <w:spacing w:after="0" w:line="89" w:lineRule="exact"/>
        <w:rPr>
          <w:rFonts w:ascii="Times New Roman" w:cs="Times New Roman" w:eastAsia="Times New Roman" w:hAnsi="Times New Roman"/>
          <w:sz w:val="20"/>
          <w:szCs w:val="20"/>
          <w:color w:val="0000EE"/>
        </w:rPr>
      </w:pPr>
    </w:p>
    <w:p>
      <w:pPr>
        <w:jc w:val="center"/>
        <w:ind w:right="-539"/>
        <w:spacing w:after="0"/>
        <w:rPr>
          <w:sz w:val="20"/>
          <w:szCs w:val="20"/>
          <w:color w:val="auto"/>
        </w:rPr>
      </w:pPr>
      <w:r>
        <w:rPr>
          <w:rFonts w:ascii="Times New Roman" w:cs="Times New Roman" w:eastAsia="Times New Roman" w:hAnsi="Times New Roman"/>
          <w:sz w:val="20"/>
          <w:szCs w:val="20"/>
          <w:color w:val="auto"/>
        </w:rPr>
        <w:t>S-3</w:t>
      </w:r>
    </w:p>
    <w:p>
      <w:pPr>
        <w:sectPr>
          <w:pgSz w:w="11900" w:h="16838" w:orient="portrait"/>
          <w:cols w:equalWidth="0" w:num="1">
            <w:col w:w="10700"/>
          </w:cols>
          <w:pgMar w:left="320" w:top="437" w:right="8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2">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6" w:lineRule="exact"/>
        <w:rPr>
          <w:sz w:val="20"/>
          <w:szCs w:val="20"/>
          <w:color w:val="auto"/>
        </w:rPr>
      </w:pPr>
    </w:p>
    <w:p>
      <w:pPr>
        <w:ind w:left="1240" w:right="280" w:hanging="404"/>
        <w:spacing w:after="0" w:line="276" w:lineRule="auto"/>
        <w:tabs>
          <w:tab w:leader="none" w:pos="12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description of our common stock contained in our registration statement on </w:t>
      </w:r>
      <w:hyperlink r:id="rId44">
        <w:r>
          <w:rPr>
            <w:rFonts w:ascii="Times New Roman" w:cs="Times New Roman" w:eastAsia="Times New Roman" w:hAnsi="Times New Roman"/>
            <w:sz w:val="20"/>
            <w:szCs w:val="20"/>
            <w:u w:val="single" w:color="auto"/>
            <w:color w:val="0000EE"/>
          </w:rPr>
          <w:t>Form 8-A</w:t>
        </w:r>
      </w:hyperlink>
      <w:r>
        <w:rPr>
          <w:rFonts w:ascii="Times New Roman" w:cs="Times New Roman" w:eastAsia="Times New Roman" w:hAnsi="Times New Roman"/>
          <w:sz w:val="20"/>
          <w:szCs w:val="20"/>
          <w:color w:val="auto"/>
        </w:rPr>
        <w:t>, filed with the SEC on July 25, 2014 and any amendment or report filed with the SEC for the purpose of updating such description.</w:t>
      </w:r>
    </w:p>
    <w:p>
      <w:pPr>
        <w:spacing w:after="0" w:line="133" w:lineRule="exact"/>
        <w:rPr>
          <w:sz w:val="20"/>
          <w:szCs w:val="20"/>
          <w:color w:val="auto"/>
        </w:rPr>
      </w:pPr>
    </w:p>
    <w:p>
      <w:pPr>
        <w:ind w:left="420"/>
        <w:spacing w:after="0" w:line="244" w:lineRule="auto"/>
        <w:rPr>
          <w:sz w:val="20"/>
          <w:szCs w:val="20"/>
          <w:color w:val="auto"/>
        </w:rPr>
      </w:pPr>
      <w:r>
        <w:rPr>
          <w:rFonts w:ascii="Times New Roman" w:cs="Times New Roman" w:eastAsia="Times New Roman" w:hAnsi="Times New Roman"/>
          <w:sz w:val="20"/>
          <w:szCs w:val="20"/>
          <w:color w:val="auto"/>
        </w:rPr>
        <w:t>All reports and other documents we subsequently file pursuant to Section 13(a), 13(c), 14 or 15(d) of the Securities Exchange Act of 1934, as amended, which we refer to as the “Exchange Act” in this prospectus, prior to the termination of this offering, including all such documents we may file with the SEC after the date of the initial registration statement of which this prospectus is a part and prior to the effectiveness of the registration statement, will also be incorporated by reference in this prospectus and deemed to be part of this prospectus from the date of the filing of such reports and documents. We are not, however, incorporating by reference any documents or portions thereof, whether specifically listed above or filed in the future, that are not deemed “filed” with the SEC, including our stock performance graph or any information furnished pursuant to Items 2.02 or 7.01 of Form 8-K or related exhibits furnished pursuant to Item 9.01 of Form 8-K.</w:t>
      </w:r>
    </w:p>
    <w:p>
      <w:pPr>
        <w:spacing w:after="0" w:line="167" w:lineRule="exact"/>
        <w:rPr>
          <w:sz w:val="20"/>
          <w:szCs w:val="20"/>
          <w:color w:val="auto"/>
        </w:rPr>
      </w:pPr>
    </w:p>
    <w:p>
      <w:pPr>
        <w:ind w:left="420"/>
        <w:spacing w:after="0" w:line="276" w:lineRule="auto"/>
        <w:rPr>
          <w:sz w:val="20"/>
          <w:szCs w:val="20"/>
          <w:color w:val="auto"/>
        </w:rPr>
      </w:pPr>
      <w:r>
        <w:rPr>
          <w:rFonts w:ascii="Times New Roman" w:cs="Times New Roman" w:eastAsia="Times New Roman" w:hAnsi="Times New Roman"/>
          <w:sz w:val="20"/>
          <w:szCs w:val="20"/>
          <w:color w:val="auto"/>
        </w:rPr>
        <w:t>You may request a free copy of any of the documents incorporated by reference in this prospectus by writing or telephoning us at the following address:</w:t>
      </w:r>
    </w:p>
    <w:p>
      <w:pPr>
        <w:spacing w:after="0" w:line="13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T2 Biosystems, Inc.</w:t>
      </w:r>
    </w:p>
    <w:p>
      <w:pPr>
        <w:spacing w:after="0" w:line="21" w:lineRule="exact"/>
        <w:rPr>
          <w:sz w:val="20"/>
          <w:szCs w:val="20"/>
          <w:color w:val="auto"/>
        </w:rPr>
      </w:pPr>
    </w:p>
    <w:p>
      <w:pPr>
        <w:jc w:val="both"/>
        <w:ind w:left="4720" w:right="4220" w:firstLine="40"/>
        <w:spacing w:after="0" w:line="239" w:lineRule="auto"/>
        <w:tabs>
          <w:tab w:leader="none" w:pos="5127"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Hartwell Avenue Lexington, MA 02421</w:t>
      </w:r>
    </w:p>
    <w:p>
      <w:pPr>
        <w:jc w:val="center"/>
        <w:ind w:right="-499"/>
        <w:spacing w:after="0"/>
        <w:rPr>
          <w:sz w:val="20"/>
          <w:szCs w:val="20"/>
          <w:color w:val="auto"/>
        </w:rPr>
      </w:pPr>
      <w:r>
        <w:rPr>
          <w:rFonts w:ascii="Times New Roman" w:cs="Times New Roman" w:eastAsia="Times New Roman" w:hAnsi="Times New Roman"/>
          <w:sz w:val="20"/>
          <w:szCs w:val="20"/>
          <w:color w:val="auto"/>
        </w:rPr>
        <w:t>Attention: General Counsel</w:t>
      </w:r>
    </w:p>
    <w:p>
      <w:pPr>
        <w:jc w:val="center"/>
        <w:ind w:right="-499"/>
        <w:spacing w:after="0"/>
        <w:rPr>
          <w:sz w:val="20"/>
          <w:szCs w:val="20"/>
          <w:color w:val="auto"/>
        </w:rPr>
      </w:pPr>
      <w:r>
        <w:rPr>
          <w:rFonts w:ascii="Times New Roman" w:cs="Times New Roman" w:eastAsia="Times New Roman" w:hAnsi="Times New Roman"/>
          <w:sz w:val="20"/>
          <w:szCs w:val="20"/>
          <w:color w:val="auto"/>
        </w:rPr>
        <w:t>(781) 761-4646</w:t>
      </w:r>
    </w:p>
    <w:p>
      <w:pPr>
        <w:spacing w:after="0" w:line="181" w:lineRule="exact"/>
        <w:rPr>
          <w:sz w:val="20"/>
          <w:szCs w:val="20"/>
          <w:color w:val="auto"/>
        </w:rPr>
      </w:pPr>
    </w:p>
    <w:p>
      <w:pPr>
        <w:ind w:left="420" w:right="120"/>
        <w:spacing w:after="0" w:line="276" w:lineRule="auto"/>
        <w:rPr>
          <w:sz w:val="20"/>
          <w:szCs w:val="20"/>
          <w:color w:val="auto"/>
        </w:rPr>
      </w:pPr>
      <w:r>
        <w:rPr>
          <w:rFonts w:ascii="Times New Roman" w:cs="Times New Roman" w:eastAsia="Times New Roman" w:hAnsi="Times New Roman"/>
          <w:sz w:val="20"/>
          <w:szCs w:val="20"/>
          <w:color w:val="auto"/>
        </w:rPr>
        <w:t>Exhibits to the filings will not be sent, however, unless those exhibits have specifically been incorporated by reference in this prospectus.</w:t>
      </w:r>
    </w:p>
    <w:p>
      <w:pPr>
        <w:spacing w:after="0" w:line="70"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20"/>
          <w:szCs w:val="20"/>
          <w:color w:val="auto"/>
        </w:rPr>
        <w:t>S-4</w:t>
      </w:r>
    </w:p>
    <w:p>
      <w:pPr>
        <w:sectPr>
          <w:pgSz w:w="11900" w:h="16838" w:orient="portrait"/>
          <w:cols w:equalWidth="0" w:num="1">
            <w:col w:w="10760"/>
          </w:cols>
          <w:pgMar w:left="320" w:top="437" w:right="8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3">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201930</wp:posOffset>
            </wp:positionV>
            <wp:extent cx="6602730" cy="37649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4">
                      <a:extLst>
                        <a:ext uri="{28A0092B-C50C-407E-A947-70E740481C1C}"/>
                      </a:extLst>
                    </a:blip>
                    <a:srcRect/>
                    <a:stretch>
                      <a:fillRect/>
                    </a:stretch>
                  </pic:blipFill>
                  <pic:spPr bwMode="auto">
                    <a:xfrm>
                      <a:off x="0" y="0"/>
                      <a:ext cx="6602730" cy="376491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20"/>
          <w:szCs w:val="20"/>
          <w:b w:val="1"/>
          <w:bCs w:val="1"/>
          <w:color w:val="auto"/>
        </w:rPr>
        <w:t>PROSPECTUS SUMMARY</w:t>
      </w:r>
    </w:p>
    <w:p>
      <w:pPr>
        <w:spacing w:after="0" w:line="203" w:lineRule="exact"/>
        <w:rPr>
          <w:sz w:val="20"/>
          <w:szCs w:val="20"/>
          <w:color w:val="auto"/>
        </w:rPr>
      </w:pPr>
    </w:p>
    <w:p>
      <w:pPr>
        <w:ind w:left="600" w:right="100"/>
        <w:spacing w:after="0" w:line="247" w:lineRule="auto"/>
        <w:rPr>
          <w:sz w:val="20"/>
          <w:szCs w:val="20"/>
          <w:color w:val="auto"/>
        </w:rPr>
      </w:pPr>
      <w:r>
        <w:rPr>
          <w:rFonts w:ascii="Times New Roman" w:cs="Times New Roman" w:eastAsia="Times New Roman" w:hAnsi="Times New Roman"/>
          <w:sz w:val="20"/>
          <w:szCs w:val="20"/>
          <w:i w:val="1"/>
          <w:iCs w:val="1"/>
          <w:color w:val="auto"/>
        </w:rPr>
        <w:t>This summary provides a general overview of selected information and does not contain all of the information you should consider before buying our common stock. Therefore, you should read this entire prospectus and any prospectus supplement that we have authorized for use in connection with this offering carefully, including the information incorporated by reference, before deciding to invest in our common stock. Investors should carefully consider the information set forth under “Risk Factors” beginning on page S-7 of this prospectus and incorporated by reference from our Annual Report on Form 10-K and our Quarterly Report on Form 10-Q.</w:t>
      </w:r>
    </w:p>
    <w:p>
      <w:pPr>
        <w:spacing w:after="0" w:line="26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b w:val="1"/>
          <w:bCs w:val="1"/>
          <w:color w:val="auto"/>
        </w:rPr>
        <w:t>T2 Biosystems, Inc.</w:t>
      </w:r>
    </w:p>
    <w:p>
      <w:pPr>
        <w:spacing w:after="0" w:line="207" w:lineRule="exact"/>
        <w:rPr>
          <w:sz w:val="20"/>
          <w:szCs w:val="20"/>
          <w:color w:val="auto"/>
        </w:rPr>
      </w:pPr>
    </w:p>
    <w:p>
      <w:pPr>
        <w:ind w:left="600"/>
        <w:spacing w:after="0" w:line="244" w:lineRule="auto"/>
        <w:rPr>
          <w:sz w:val="20"/>
          <w:szCs w:val="20"/>
          <w:color w:val="auto"/>
        </w:rPr>
      </w:pPr>
      <w:r>
        <w:rPr>
          <w:rFonts w:ascii="Times New Roman" w:cs="Times New Roman" w:eastAsia="Times New Roman" w:hAnsi="Times New Roman"/>
          <w:sz w:val="20"/>
          <w:szCs w:val="20"/>
          <w:color w:val="auto"/>
        </w:rPr>
        <w:t>We are an in vitro diagnostics company and leader in the rapid detection of sepsis-causing pathogens and antibiotic resistance genes. Our technology enables rapid detection of pathogens, biomarkers and other abnormalities in a variety of unpurified patient sample types, including whole blood, plasma, serum, saliva, sputum and urine, and can detect cellular targets at limits of detection as low as one colony forming unit per milliliter, or CFU/mL. We are currently targeting what we believe to be a range of critically underserved healthcare conditions, focusing initially on those for which rapid detection may enable faster targeted antimicrobial treatment, improve patient outcomes, and reduce cost. Our current focus includes three areas – sepsis, bioterrorism, and Lyme disease – which we believe collectively represent a multi-billion dollar market opportunity.</w:t>
      </w:r>
    </w:p>
    <w:p>
      <w:pPr>
        <w:spacing w:after="0" w:line="265"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20"/>
          <w:szCs w:val="20"/>
          <w:b w:val="1"/>
          <w:bCs w:val="1"/>
          <w:color w:val="auto"/>
        </w:rPr>
        <w:t>Corporate Information</w:t>
      </w:r>
    </w:p>
    <w:p>
      <w:pPr>
        <w:spacing w:after="0" w:line="207" w:lineRule="exact"/>
        <w:rPr>
          <w:sz w:val="20"/>
          <w:szCs w:val="20"/>
          <w:color w:val="auto"/>
        </w:rPr>
      </w:pPr>
    </w:p>
    <w:p>
      <w:pPr>
        <w:ind w:left="600" w:right="160"/>
        <w:spacing w:after="0" w:line="276" w:lineRule="auto"/>
        <w:rPr>
          <w:sz w:val="20"/>
          <w:szCs w:val="20"/>
          <w:color w:val="auto"/>
        </w:rPr>
      </w:pPr>
      <w:r>
        <w:rPr>
          <w:rFonts w:ascii="Times New Roman" w:cs="Times New Roman" w:eastAsia="Times New Roman" w:hAnsi="Times New Roman"/>
          <w:sz w:val="20"/>
          <w:szCs w:val="20"/>
          <w:color w:val="auto"/>
        </w:rPr>
        <w:t>We were incorporated under the laws of the State of Delaware in 2006. Our principal executive offices are located at 101 Hartwell Ave., Lexington, MA 02421 and our telephone number is (781) 761-4646.</w:t>
      </w:r>
    </w:p>
    <w:p>
      <w:pPr>
        <w:spacing w:after="0" w:line="24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S-5</w:t>
      </w:r>
    </w:p>
    <w:p>
      <w:pPr>
        <w:sectPr>
          <w:pgSz w:w="11900" w:h="16838" w:orient="portrait"/>
          <w:cols w:equalWidth="0" w:num="1">
            <w:col w:w="10620"/>
          </w:cols>
          <w:pgMar w:left="320" w:top="437" w:right="9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5">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201930</wp:posOffset>
            </wp:positionV>
            <wp:extent cx="6602730" cy="56000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6">
                      <a:extLst>
                        <a:ext uri="{28A0092B-C50C-407E-A947-70E740481C1C}"/>
                      </a:extLst>
                    </a:blip>
                    <a:srcRect/>
                    <a:stretch>
                      <a:fillRect/>
                    </a:stretch>
                  </pic:blipFill>
                  <pic:spPr bwMode="auto">
                    <a:xfrm>
                      <a:off x="0" y="0"/>
                      <a:ext cx="6602730" cy="560006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b w:val="1"/>
          <w:bCs w:val="1"/>
          <w:color w:val="auto"/>
        </w:rPr>
        <w:t>THE OFFERING</w:t>
      </w:r>
    </w:p>
    <w:p>
      <w:pPr>
        <w:sectPr>
          <w:pgSz w:w="11900" w:h="16838" w:orient="portrait"/>
          <w:cols w:equalWidth="0" w:num="1">
            <w:col w:w="10620"/>
          </w:cols>
          <w:pgMar w:left="320" w:top="437" w:right="959" w:bottom="1440" w:gutter="0" w:footer="0" w:header="0"/>
        </w:sectPr>
      </w:pP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color w:val="auto"/>
        </w:rPr>
        <w:t>Common stock offered by us</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right="340"/>
        <w:spacing w:after="0" w:line="276" w:lineRule="auto"/>
        <w:rPr>
          <w:sz w:val="20"/>
          <w:szCs w:val="20"/>
          <w:color w:val="auto"/>
        </w:rPr>
      </w:pPr>
      <w:r>
        <w:rPr>
          <w:rFonts w:ascii="Times New Roman" w:cs="Times New Roman" w:eastAsia="Times New Roman" w:hAnsi="Times New Roman"/>
          <w:sz w:val="20"/>
          <w:szCs w:val="20"/>
          <w:color w:val="auto"/>
        </w:rPr>
        <w:t>Shares of our common stock having an aggregate offering price of up to $14,658,742.</w:t>
      </w:r>
    </w:p>
    <w:p>
      <w:pPr>
        <w:spacing w:after="0" w:line="155" w:lineRule="exact"/>
        <w:rPr>
          <w:sz w:val="20"/>
          <w:szCs w:val="20"/>
          <w:color w:val="auto"/>
        </w:rPr>
      </w:pPr>
    </w:p>
    <w:p>
      <w:pPr>
        <w:sectPr>
          <w:pgSz w:w="11900" w:h="16838" w:orient="portrait"/>
          <w:cols w:equalWidth="0" w:num="2">
            <w:col w:w="3680" w:space="720"/>
            <w:col w:w="6220"/>
          </w:cols>
          <w:pgMar w:left="320" w:top="437" w:right="959" w:bottom="1440" w:gutter="0" w:footer="0" w:header="0"/>
          <w:type w:val="continuous"/>
        </w:sectPr>
      </w:pPr>
    </w:p>
    <w:p>
      <w:pPr>
        <w:ind w:left="600"/>
        <w:spacing w:after="0"/>
        <w:tabs>
          <w:tab w:leader="none" w:pos="4380" w:val="left"/>
        </w:tabs>
        <w:rPr>
          <w:sz w:val="20"/>
          <w:szCs w:val="20"/>
          <w:color w:val="auto"/>
        </w:rPr>
      </w:pPr>
      <w:r>
        <w:rPr>
          <w:rFonts w:ascii="Times New Roman" w:cs="Times New Roman" w:eastAsia="Times New Roman" w:hAnsi="Times New Roman"/>
          <w:sz w:val="20"/>
          <w:szCs w:val="20"/>
          <w:b w:val="1"/>
          <w:bCs w:val="1"/>
          <w:color w:val="auto"/>
        </w:rPr>
        <w:t>Common stock outstanding following this</w:t>
      </w:r>
      <w:r>
        <w:rPr>
          <w:sz w:val="20"/>
          <w:szCs w:val="20"/>
          <w:color w:val="auto"/>
        </w:rPr>
        <w:tab/>
      </w:r>
      <w:r>
        <w:rPr>
          <w:rFonts w:ascii="Times New Roman" w:cs="Times New Roman" w:eastAsia="Times New Roman" w:hAnsi="Times New Roman"/>
          <w:sz w:val="20"/>
          <w:szCs w:val="20"/>
          <w:color w:val="auto"/>
        </w:rPr>
        <w:t>20,021,263 (assuming 2,627,014 shares of our common stock are sold in</w:t>
      </w:r>
    </w:p>
    <w:p>
      <w:pPr>
        <w:sectPr>
          <w:pgSz w:w="11900" w:h="16838" w:orient="portrait"/>
          <w:cols w:equalWidth="0" w:num="1">
            <w:col w:w="10620"/>
          </w:cols>
          <w:pgMar w:left="320" w:top="437" w:right="959" w:bottom="1440" w:gutter="0" w:footer="0" w:header="0"/>
          <w:type w:val="continuous"/>
        </w:sectPr>
      </w:pPr>
    </w:p>
    <w:p>
      <w:pPr>
        <w:spacing w:after="0" w:line="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b w:val="1"/>
          <w:bCs w:val="1"/>
          <w:color w:val="auto"/>
        </w:rPr>
        <w:t>offering</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auto"/>
        </w:rPr>
        <w:t>this offering at an offering price of $5.58 per share, which was the last reported sale price of our common stock on the Nasdaq Capital Market on July 17, 2024. The actual number of shares of common stock issued will vary depending on how many shares of our common stock we choose to sell and the prices at which such sales occur.</w:t>
      </w:r>
    </w:p>
    <w:p>
      <w:pPr>
        <w:spacing w:after="0" w:line="190" w:lineRule="exact"/>
        <w:rPr>
          <w:sz w:val="20"/>
          <w:szCs w:val="20"/>
          <w:color w:val="auto"/>
        </w:rPr>
      </w:pPr>
    </w:p>
    <w:p>
      <w:pPr>
        <w:sectPr>
          <w:pgSz w:w="11900" w:h="16838" w:orient="portrait"/>
          <w:cols w:equalWidth="0" w:num="2">
            <w:col w:w="3680" w:space="720"/>
            <w:col w:w="6220"/>
          </w:cols>
          <w:pgMar w:left="320" w:top="437" w:right="959" w:bottom="1440" w:gutter="0" w:footer="0" w:header="0"/>
          <w:type w:val="continuous"/>
        </w:sectPr>
      </w:pPr>
    </w:p>
    <w:p>
      <w:pPr>
        <w:ind w:left="600"/>
        <w:spacing w:after="0"/>
        <w:rPr>
          <w:sz w:val="20"/>
          <w:szCs w:val="20"/>
          <w:color w:val="auto"/>
        </w:rPr>
      </w:pPr>
      <w:r>
        <w:rPr>
          <w:rFonts w:ascii="Times New Roman" w:cs="Times New Roman" w:eastAsia="Times New Roman" w:hAnsi="Times New Roman"/>
          <w:sz w:val="20"/>
          <w:szCs w:val="20"/>
          <w:b w:val="1"/>
          <w:bCs w:val="1"/>
          <w:color w:val="auto"/>
        </w:rPr>
        <w:t>Plan of Distribution</w:t>
      </w:r>
    </w:p>
    <w:p>
      <w:pPr>
        <w:spacing w:after="0" w:line="20" w:lineRule="exact"/>
        <w:rPr>
          <w:sz w:val="20"/>
          <w:szCs w:val="20"/>
          <w:color w:val="auto"/>
        </w:rPr>
      </w:pPr>
      <w:r>
        <w:rPr>
          <w:sz w:val="20"/>
          <w:szCs w:val="20"/>
          <w:color w:val="auto"/>
        </w:rPr>
        <w:br w:type="column"/>
      </w:r>
    </w:p>
    <w:p>
      <w:pPr>
        <w:ind w:right="20"/>
        <w:spacing w:after="0" w:line="251" w:lineRule="auto"/>
        <w:rPr>
          <w:sz w:val="20"/>
          <w:szCs w:val="20"/>
          <w:color w:val="auto"/>
        </w:rPr>
      </w:pPr>
      <w:r>
        <w:rPr>
          <w:rFonts w:ascii="Times New Roman" w:cs="Times New Roman" w:eastAsia="Times New Roman" w:hAnsi="Times New Roman"/>
          <w:sz w:val="20"/>
          <w:szCs w:val="20"/>
          <w:color w:val="auto"/>
        </w:rPr>
        <w:t>“At the market offering” that may be made from time to time on the Nasdaq Capital Market or other existing trading market for our common stock through HCW. See the section titled “Plan of Distribution” on page S-14 of this prospectus.</w:t>
      </w:r>
    </w:p>
    <w:p>
      <w:pPr>
        <w:spacing w:after="0" w:line="180" w:lineRule="exact"/>
        <w:rPr>
          <w:sz w:val="20"/>
          <w:szCs w:val="20"/>
          <w:color w:val="auto"/>
        </w:rPr>
      </w:pPr>
    </w:p>
    <w:p>
      <w:pPr>
        <w:sectPr>
          <w:pgSz w:w="11900" w:h="16838" w:orient="portrait"/>
          <w:cols w:equalWidth="0" w:num="2">
            <w:col w:w="3680" w:space="720"/>
            <w:col w:w="6220"/>
          </w:cols>
          <w:pgMar w:left="320" w:top="437" w:right="959" w:bottom="1440" w:gutter="0" w:footer="0" w:header="0"/>
          <w:type w:val="continuous"/>
        </w:sectPr>
      </w:pPr>
    </w:p>
    <w:p>
      <w:pPr>
        <w:ind w:left="600"/>
        <w:spacing w:after="0"/>
        <w:rPr>
          <w:sz w:val="20"/>
          <w:szCs w:val="20"/>
          <w:color w:val="auto"/>
        </w:rPr>
      </w:pPr>
      <w:r>
        <w:rPr>
          <w:rFonts w:ascii="Times New Roman" w:cs="Times New Roman" w:eastAsia="Times New Roman" w:hAnsi="Times New Roman"/>
          <w:sz w:val="20"/>
          <w:szCs w:val="20"/>
          <w:b w:val="1"/>
          <w:bCs w:val="1"/>
          <w:color w:val="auto"/>
        </w:rPr>
        <w:t>Use of Proceeds</w:t>
      </w:r>
    </w:p>
    <w:p>
      <w:pPr>
        <w:spacing w:after="0" w:line="20" w:lineRule="exact"/>
        <w:rPr>
          <w:sz w:val="20"/>
          <w:szCs w:val="20"/>
          <w:color w:val="auto"/>
        </w:rPr>
      </w:pPr>
      <w:r>
        <w:rPr>
          <w:sz w:val="20"/>
          <w:szCs w:val="20"/>
          <w:color w:val="auto"/>
        </w:rPr>
        <w:br w:type="column"/>
      </w:r>
    </w:p>
    <w:p>
      <w:pPr>
        <w:jc w:val="both"/>
        <w:ind w:right="200"/>
        <w:spacing w:after="0" w:line="257" w:lineRule="auto"/>
        <w:rPr>
          <w:sz w:val="20"/>
          <w:szCs w:val="20"/>
          <w:color w:val="auto"/>
        </w:rPr>
      </w:pPr>
      <w:r>
        <w:rPr>
          <w:rFonts w:ascii="Times New Roman" w:cs="Times New Roman" w:eastAsia="Times New Roman" w:hAnsi="Times New Roman"/>
          <w:sz w:val="20"/>
          <w:szCs w:val="20"/>
          <w:color w:val="auto"/>
        </w:rPr>
        <w:t>We intend to use the net proceeds of this offering for working capital and other general corporate purposes. See the section titled “Use of Proceeds” on page S-12 of this prospectus.</w:t>
      </w:r>
    </w:p>
    <w:p>
      <w:pPr>
        <w:spacing w:after="0" w:line="174" w:lineRule="exact"/>
        <w:rPr>
          <w:sz w:val="20"/>
          <w:szCs w:val="20"/>
          <w:color w:val="auto"/>
        </w:rPr>
      </w:pPr>
    </w:p>
    <w:p>
      <w:pPr>
        <w:sectPr>
          <w:pgSz w:w="11900" w:h="16838" w:orient="portrait"/>
          <w:cols w:equalWidth="0" w:num="2">
            <w:col w:w="3680" w:space="720"/>
            <w:col w:w="6220"/>
          </w:cols>
          <w:pgMar w:left="320" w:top="437" w:right="959" w:bottom="1440" w:gutter="0" w:footer="0" w:header="0"/>
          <w:type w:val="continuous"/>
        </w:sectPr>
      </w:pPr>
    </w:p>
    <w:p>
      <w:pPr>
        <w:ind w:left="600"/>
        <w:spacing w:after="0"/>
        <w:rPr>
          <w:sz w:val="20"/>
          <w:szCs w:val="20"/>
          <w:color w:val="auto"/>
        </w:rPr>
      </w:pPr>
      <w:r>
        <w:rPr>
          <w:rFonts w:ascii="Times New Roman" w:cs="Times New Roman" w:eastAsia="Times New Roman" w:hAnsi="Times New Roman"/>
          <w:sz w:val="20"/>
          <w:szCs w:val="20"/>
          <w:b w:val="1"/>
          <w:bCs w:val="1"/>
          <w:color w:val="auto"/>
        </w:rPr>
        <w:t>Risk Factors</w:t>
      </w:r>
    </w:p>
    <w:p>
      <w:pPr>
        <w:spacing w:after="0" w:line="20" w:lineRule="exact"/>
        <w:rPr>
          <w:sz w:val="20"/>
          <w:szCs w:val="20"/>
          <w:color w:val="auto"/>
        </w:rPr>
      </w:pPr>
      <w:r>
        <w:rPr>
          <w:sz w:val="20"/>
          <w:szCs w:val="20"/>
          <w:color w:val="auto"/>
        </w:rPr>
        <w:br w:type="column"/>
      </w:r>
    </w:p>
    <w:p>
      <w:pPr>
        <w:ind w:right="160"/>
        <w:spacing w:after="0" w:line="251" w:lineRule="auto"/>
        <w:rPr>
          <w:sz w:val="20"/>
          <w:szCs w:val="20"/>
          <w:color w:val="auto"/>
        </w:rPr>
      </w:pPr>
      <w:r>
        <w:rPr>
          <w:rFonts w:ascii="Times New Roman" w:cs="Times New Roman" w:eastAsia="Times New Roman" w:hAnsi="Times New Roman"/>
          <w:sz w:val="20"/>
          <w:szCs w:val="20"/>
          <w:color w:val="auto"/>
        </w:rPr>
        <w:t>See “Risk Factors” beginning on page S-7 of this prospectus and the other information included in, or incorporated by reference into, this prospectus for a discussion of certain factors you should carefully consider before deciding to invest in shares of our common stock.</w:t>
      </w:r>
    </w:p>
    <w:p>
      <w:pPr>
        <w:spacing w:after="0" w:line="180" w:lineRule="exact"/>
        <w:rPr>
          <w:sz w:val="20"/>
          <w:szCs w:val="20"/>
          <w:color w:val="auto"/>
        </w:rPr>
      </w:pPr>
    </w:p>
    <w:p>
      <w:pPr>
        <w:sectPr>
          <w:pgSz w:w="11900" w:h="16838" w:orient="portrait"/>
          <w:cols w:equalWidth="0" w:num="2">
            <w:col w:w="3680" w:space="720"/>
            <w:col w:w="6220"/>
          </w:cols>
          <w:pgMar w:left="320" w:top="437" w:right="959" w:bottom="1440" w:gutter="0" w:footer="0" w:header="0"/>
          <w:type w:val="continuous"/>
        </w:sectPr>
      </w:pPr>
    </w:p>
    <w:p>
      <w:pPr>
        <w:ind w:left="600"/>
        <w:spacing w:after="0"/>
        <w:rPr>
          <w:sz w:val="20"/>
          <w:szCs w:val="20"/>
          <w:color w:val="auto"/>
        </w:rPr>
      </w:pPr>
      <w:r>
        <w:rPr>
          <w:rFonts w:ascii="Times New Roman" w:cs="Times New Roman" w:eastAsia="Times New Roman" w:hAnsi="Times New Roman"/>
          <w:sz w:val="20"/>
          <w:szCs w:val="20"/>
          <w:b w:val="1"/>
          <w:bCs w:val="1"/>
          <w:color w:val="auto"/>
        </w:rPr>
        <w:t>Nasdaq Capital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“TTOO”</w:t>
      </w:r>
    </w:p>
    <w:p>
      <w:pPr>
        <w:spacing w:after="0" w:line="200" w:lineRule="exact"/>
        <w:rPr>
          <w:sz w:val="20"/>
          <w:szCs w:val="20"/>
          <w:color w:val="auto"/>
        </w:rPr>
      </w:pPr>
    </w:p>
    <w:p>
      <w:pPr>
        <w:sectPr>
          <w:pgSz w:w="11900" w:h="16838" w:orient="portrait"/>
          <w:cols w:equalWidth="0" w:num="2">
            <w:col w:w="3680" w:space="720"/>
            <w:col w:w="6220"/>
          </w:cols>
          <w:pgMar w:left="320" w:top="437" w:right="959" w:bottom="1440" w:gutter="0" w:footer="0" w:header="0"/>
          <w:type w:val="continuous"/>
        </w:sectPr>
      </w:pPr>
    </w:p>
    <w:p>
      <w:pPr>
        <w:spacing w:after="0" w:line="245" w:lineRule="exact"/>
        <w:rPr>
          <w:sz w:val="20"/>
          <w:szCs w:val="20"/>
          <w:color w:val="auto"/>
        </w:rPr>
      </w:pPr>
    </w:p>
    <w:p>
      <w:pPr>
        <w:ind w:left="600" w:right="40"/>
        <w:spacing w:after="0" w:line="276" w:lineRule="auto"/>
        <w:rPr>
          <w:sz w:val="20"/>
          <w:szCs w:val="20"/>
          <w:color w:val="auto"/>
        </w:rPr>
      </w:pPr>
      <w:r>
        <w:rPr>
          <w:rFonts w:ascii="Times New Roman" w:cs="Times New Roman" w:eastAsia="Times New Roman" w:hAnsi="Times New Roman"/>
          <w:sz w:val="20"/>
          <w:szCs w:val="20"/>
          <w:color w:val="auto"/>
        </w:rPr>
        <w:t>The number of shares of our common stock to be outstanding prior to this offering as shown above is based on 17,394,249 shares of our common stock legally outstanding as of June 30, 2024, and excludes:</w:t>
      </w:r>
    </w:p>
    <w:p>
      <w:pPr>
        <w:spacing w:after="0" w:line="159" w:lineRule="exact"/>
        <w:rPr>
          <w:sz w:val="20"/>
          <w:szCs w:val="20"/>
          <w:color w:val="auto"/>
        </w:rPr>
      </w:pPr>
    </w:p>
    <w:p>
      <w:pPr>
        <w:ind w:left="1380" w:right="220" w:hanging="385"/>
        <w:spacing w:after="0" w:line="276" w:lineRule="auto"/>
        <w:tabs>
          <w:tab w:leader="none" w:pos="13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1,489 shares of our common stock issuable upon the exercise of stock options outstanding as of June 30, 2024, having a weighted average exercise price of $12,709.40 per share;</w:t>
      </w:r>
    </w:p>
    <w:p>
      <w:pPr>
        <w:spacing w:after="0" w:line="158" w:lineRule="exact"/>
        <w:rPr>
          <w:rFonts w:ascii="Times New Roman" w:cs="Times New Roman" w:eastAsia="Times New Roman" w:hAnsi="Times New Roman"/>
          <w:sz w:val="20"/>
          <w:szCs w:val="20"/>
          <w:color w:val="auto"/>
        </w:rPr>
      </w:pPr>
    </w:p>
    <w:p>
      <w:pPr>
        <w:ind w:left="1380" w:right="240" w:hanging="385"/>
        <w:spacing w:after="0" w:line="276" w:lineRule="auto"/>
        <w:tabs>
          <w:tab w:leader="none" w:pos="13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4,259,717 shares of our common stock issuable upon the exercise of warrants outstanding as of June 30, 2024, having a weighted average exercise price of $5.84 per share;</w:t>
      </w:r>
    </w:p>
    <w:p>
      <w:pPr>
        <w:spacing w:after="0" w:line="24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S-6</w:t>
      </w:r>
    </w:p>
    <w:p>
      <w:pPr>
        <w:sectPr>
          <w:pgSz w:w="11900" w:h="16838" w:orient="portrait"/>
          <w:cols w:equalWidth="0" w:num="1">
            <w:col w:w="10620"/>
          </w:cols>
          <w:pgMar w:left="320" w:top="437" w:right="95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7">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201930</wp:posOffset>
            </wp:positionV>
            <wp:extent cx="6602730" cy="950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8">
                      <a:extLst>
                        <a:ext uri="{28A0092B-C50C-407E-A947-70E740481C1C}"/>
                      </a:extLst>
                    </a:blip>
                    <a:srcRect/>
                    <a:stretch>
                      <a:fillRect/>
                    </a:stretch>
                  </pic:blipFill>
                  <pic:spPr bwMode="auto">
                    <a:xfrm>
                      <a:off x="0" y="0"/>
                      <a:ext cx="6602730" cy="95059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1380" w:hanging="385"/>
        <w:spacing w:after="0" w:line="276" w:lineRule="auto"/>
        <w:tabs>
          <w:tab w:leader="none" w:pos="13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8,261 shares of common stock issuable upon the vesting of restricted stock units outstanding as of June 30, 2024; and</w:t>
      </w:r>
    </w:p>
    <w:p>
      <w:pPr>
        <w:spacing w:after="0" w:line="158" w:lineRule="exact"/>
        <w:rPr>
          <w:rFonts w:ascii="Times New Roman" w:cs="Times New Roman" w:eastAsia="Times New Roman" w:hAnsi="Times New Roman"/>
          <w:sz w:val="20"/>
          <w:szCs w:val="20"/>
          <w:color w:val="auto"/>
        </w:rPr>
      </w:pPr>
    </w:p>
    <w:p>
      <w:pPr>
        <w:ind w:left="1380" w:right="180" w:hanging="385"/>
        <w:spacing w:after="0" w:line="276" w:lineRule="auto"/>
        <w:tabs>
          <w:tab w:leader="none" w:pos="13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aggregate of 1,378,491 shares of common stock reserved for future issuance under our equity incentive and employee stock purchase plans as of June 30, 2024.</w:t>
      </w:r>
    </w:p>
    <w:p>
      <w:pPr>
        <w:spacing w:after="0" w:line="24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S-7</w:t>
      </w:r>
    </w:p>
    <w:p>
      <w:pPr>
        <w:sectPr>
          <w:pgSz w:w="11900" w:h="16838" w:orient="portrait"/>
          <w:cols w:equalWidth="0" w:num="1">
            <w:col w:w="10620"/>
          </w:cols>
          <w:pgMar w:left="320" w:top="437" w:right="9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9">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0"/>
          <w:szCs w:val="20"/>
          <w:b w:val="1"/>
          <w:bCs w:val="1"/>
          <w:color w:val="auto"/>
        </w:rPr>
        <w:t>RISK FACTORS</w:t>
      </w:r>
    </w:p>
    <w:p>
      <w:pPr>
        <w:spacing w:after="0" w:line="203" w:lineRule="exact"/>
        <w:rPr>
          <w:sz w:val="20"/>
          <w:szCs w:val="20"/>
          <w:color w:val="auto"/>
        </w:rPr>
      </w:pPr>
    </w:p>
    <w:p>
      <w:pPr>
        <w:ind w:left="420" w:right="340"/>
        <w:spacing w:after="0" w:line="252" w:lineRule="auto"/>
        <w:rPr>
          <w:sz w:val="20"/>
          <w:szCs w:val="20"/>
          <w:color w:val="auto"/>
        </w:rPr>
      </w:pPr>
      <w:r>
        <w:rPr>
          <w:rFonts w:ascii="Times New Roman" w:cs="Times New Roman" w:eastAsia="Times New Roman" w:hAnsi="Times New Roman"/>
          <w:sz w:val="20"/>
          <w:szCs w:val="20"/>
          <w:i w:val="1"/>
          <w:iCs w:val="1"/>
          <w:color w:val="auto"/>
        </w:rPr>
        <w:t>Investment in our common stock offered pursuant to this prospectus involves risks. You should carefully consider the risk factors described below and those contained in the sections titled “Risk Factors” contained in our Annual Report on Form</w:t>
      </w:r>
    </w:p>
    <w:p>
      <w:pPr>
        <w:spacing w:after="0" w:line="1" w:lineRule="exact"/>
        <w:rPr>
          <w:sz w:val="20"/>
          <w:szCs w:val="20"/>
          <w:color w:val="auto"/>
        </w:rPr>
      </w:pPr>
    </w:p>
    <w:p>
      <w:pPr>
        <w:ind w:left="420" w:right="40"/>
        <w:spacing w:after="0" w:line="242" w:lineRule="auto"/>
        <w:rPr>
          <w:sz w:val="20"/>
          <w:szCs w:val="20"/>
          <w:color w:val="auto"/>
        </w:rPr>
      </w:pPr>
      <w:r>
        <w:rPr>
          <w:rFonts w:ascii="Times New Roman" w:cs="Times New Roman" w:eastAsia="Times New Roman" w:hAnsi="Times New Roman"/>
          <w:sz w:val="20"/>
          <w:szCs w:val="20"/>
          <w:i w:val="1"/>
          <w:iCs w:val="1"/>
          <w:color w:val="auto"/>
        </w:rPr>
        <w:t>10-K for the year ended December 31, 2023 and our Quarterly Report on Form 10-Q for the quarter ended March 31, 2024, which are incorporated by reference into this prospectus, any amendment or update thereto reflected in subsequent filings with the SEC, and all other information contained or incorporated by reference in this prospectus, as updated by our subsequent filings under the Exchange Act. The risks and uncertainties we have described are not the only ones we face. Additional risks and uncertainties not presently known to us or that we currently deem immaterial may also affect our operations. The occurrence of any of these risks might cause you to lose all or part of your investment in the offered securities.</w:t>
      </w:r>
    </w:p>
    <w:p>
      <w:pPr>
        <w:spacing w:after="0" w:line="26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0"/>
          <w:szCs w:val="20"/>
          <w:b w:val="1"/>
          <w:bCs w:val="1"/>
          <w:color w:val="auto"/>
        </w:rPr>
        <w:t>Additional Risks Relating to our Company, our Common Stock and this Offering</w:t>
      </w:r>
    </w:p>
    <w:p>
      <w:pPr>
        <w:spacing w:after="0" w:line="3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i w:val="1"/>
          <w:iCs w:val="1"/>
          <w:color w:val="auto"/>
        </w:rPr>
        <w:t>There is substantial doubt about our ability to continue as a going concern.</w:t>
      </w:r>
    </w:p>
    <w:p>
      <w:pPr>
        <w:spacing w:after="0" w:line="107" w:lineRule="exact"/>
        <w:rPr>
          <w:sz w:val="20"/>
          <w:szCs w:val="20"/>
          <w:color w:val="auto"/>
        </w:rPr>
      </w:pPr>
    </w:p>
    <w:p>
      <w:pPr>
        <w:ind w:left="420" w:right="60" w:firstLine="520"/>
        <w:spacing w:after="0" w:line="243" w:lineRule="auto"/>
        <w:rPr>
          <w:sz w:val="20"/>
          <w:szCs w:val="20"/>
          <w:color w:val="auto"/>
        </w:rPr>
      </w:pPr>
      <w:r>
        <w:rPr>
          <w:rFonts w:ascii="Times New Roman" w:cs="Times New Roman" w:eastAsia="Times New Roman" w:hAnsi="Times New Roman"/>
          <w:sz w:val="20"/>
          <w:szCs w:val="20"/>
          <w:color w:val="auto"/>
        </w:rPr>
        <w:t>As of March 31, 2024, we had $6.2 million in cash and cash equivalents. On May 17, 2024 we completed a private placement and received gross proceeds of approximately $8.0 million. Without additional funding, our cash and cash equivalents will not be sufficient to meet our obligations through the third quarter of 2024. As substantial doubt about our ability to continue as a going concern exists, our ability to finance our operations through equity financings or otherwise could be impaired. Our ability to fund working capital, make capital expenditures, and service our debt depends on our ability to generate cash from operating activities, which is subject to our future operating success, and obtain financing on reasonable terms, which is subject to factors beyond our control, including general economic, political, and financial market conditions. Further, as an “at the market offering” in which no minimum number or dollar amount of securities is required to be sold, we may be unable to raise sufficient capital to extend our cash runway through the third quarter of 2024. See “Risk Factors— The actual number of shares we will issue under the ATM Agreement, at any one time or in total, is uncertain.”</w:t>
      </w:r>
    </w:p>
    <w:p>
      <w:pPr>
        <w:spacing w:after="0" w:line="167" w:lineRule="exact"/>
        <w:rPr>
          <w:sz w:val="20"/>
          <w:szCs w:val="20"/>
          <w:color w:val="auto"/>
        </w:rPr>
      </w:pPr>
    </w:p>
    <w:p>
      <w:pPr>
        <w:ind w:left="420" w:firstLine="520"/>
        <w:spacing w:after="0" w:line="257" w:lineRule="auto"/>
        <w:rPr>
          <w:sz w:val="20"/>
          <w:szCs w:val="20"/>
          <w:color w:val="auto"/>
        </w:rPr>
      </w:pPr>
      <w:r>
        <w:rPr>
          <w:rFonts w:ascii="Times New Roman" w:cs="Times New Roman" w:eastAsia="Times New Roman" w:hAnsi="Times New Roman"/>
          <w:sz w:val="20"/>
          <w:szCs w:val="20"/>
          <w:color w:val="auto"/>
        </w:rPr>
        <w:t>If we are unsuccessful in our operations to secure financing, or if any such incremental financing is not sufficient to fund our operations for the foreseeable future, we may be forced to sell material assets or need to commence proceedings under Chapter 11 of the U.S. Bankruptcy Code, which would harm our business, financial condition, and results of operations.</w:t>
      </w:r>
    </w:p>
    <w:p>
      <w:pPr>
        <w:spacing w:after="0" w:line="248" w:lineRule="exact"/>
        <w:rPr>
          <w:sz w:val="20"/>
          <w:szCs w:val="20"/>
          <w:color w:val="auto"/>
        </w:rPr>
      </w:pPr>
    </w:p>
    <w:p>
      <w:pPr>
        <w:ind w:left="420" w:right="200"/>
        <w:spacing w:after="0" w:line="282" w:lineRule="auto"/>
        <w:rPr>
          <w:sz w:val="20"/>
          <w:szCs w:val="20"/>
          <w:color w:val="auto"/>
        </w:rPr>
      </w:pPr>
      <w:r>
        <w:rPr>
          <w:rFonts w:ascii="Times New Roman" w:cs="Times New Roman" w:eastAsia="Times New Roman" w:hAnsi="Times New Roman"/>
          <w:sz w:val="20"/>
          <w:szCs w:val="20"/>
          <w:b w:val="1"/>
          <w:bCs w:val="1"/>
          <w:i w:val="1"/>
          <w:iCs w:val="1"/>
          <w:color w:val="auto"/>
        </w:rPr>
        <w:t>Purchasers of common stock in this offering will experience immediate and substantial dilution in the book value of their investment. You may experience further dilution upon exercise of options and warrants.</w:t>
      </w:r>
    </w:p>
    <w:p>
      <w:pPr>
        <w:spacing w:after="0" w:line="26" w:lineRule="exact"/>
        <w:rPr>
          <w:sz w:val="20"/>
          <w:szCs w:val="20"/>
          <w:color w:val="auto"/>
        </w:rPr>
      </w:pPr>
    </w:p>
    <w:p>
      <w:pPr>
        <w:ind w:left="420" w:right="660"/>
        <w:spacing w:after="0" w:line="276" w:lineRule="auto"/>
        <w:rPr>
          <w:sz w:val="20"/>
          <w:szCs w:val="20"/>
          <w:color w:val="auto"/>
        </w:rPr>
      </w:pPr>
      <w:r>
        <w:rPr>
          <w:rFonts w:ascii="Times New Roman" w:cs="Times New Roman" w:eastAsia="Times New Roman" w:hAnsi="Times New Roman"/>
          <w:sz w:val="20"/>
          <w:szCs w:val="20"/>
          <w:color w:val="auto"/>
        </w:rPr>
        <w:t>The price per share of our common stock being offered may be higher than the net tangible book value per share of our outstanding common stock prior to this offering. For a more</w:t>
      </w:r>
    </w:p>
    <w:p>
      <w:pPr>
        <w:spacing w:after="0" w:line="7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0"/>
          <w:szCs w:val="20"/>
          <w:color w:val="auto"/>
        </w:rPr>
        <w:t>S-8</w:t>
      </w:r>
    </w:p>
    <w:p>
      <w:pPr>
        <w:sectPr>
          <w:pgSz w:w="11900" w:h="16838" w:orient="portrait"/>
          <w:cols w:equalWidth="0" w:num="1">
            <w:col w:w="10800"/>
          </w:cols>
          <w:pgMar w:left="320" w:top="437" w:right="7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0">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6" w:lineRule="exact"/>
        <w:rPr>
          <w:sz w:val="20"/>
          <w:szCs w:val="20"/>
          <w:color w:val="auto"/>
        </w:rPr>
      </w:pPr>
    </w:p>
    <w:p>
      <w:pPr>
        <w:ind w:left="420"/>
        <w:spacing w:after="0" w:line="248" w:lineRule="auto"/>
        <w:rPr>
          <w:sz w:val="20"/>
          <w:szCs w:val="20"/>
          <w:color w:val="auto"/>
        </w:rPr>
      </w:pPr>
      <w:r>
        <w:rPr>
          <w:rFonts w:ascii="Times New Roman" w:cs="Times New Roman" w:eastAsia="Times New Roman" w:hAnsi="Times New Roman"/>
          <w:sz w:val="20"/>
          <w:szCs w:val="20"/>
          <w:color w:val="auto"/>
        </w:rPr>
        <w:t>detailed discussion of the foregoing, see the section titled “Dilution” below. To the extent outstanding stock options or warrants are exercised, there will be further dilution to new investors. In addition, to the extent we need to raise additional capital in the future and we issue additional shares of common stock or securities convertible or exchangeable for our common stock, our then existing stockholders may experience dilution and the new securities may have rights senior to those of our common stock offered in this offering.</w:t>
      </w:r>
    </w:p>
    <w:p>
      <w:pPr>
        <w:spacing w:after="0" w:line="257" w:lineRule="exact"/>
        <w:rPr>
          <w:sz w:val="20"/>
          <w:szCs w:val="20"/>
          <w:color w:val="auto"/>
        </w:rPr>
      </w:pPr>
    </w:p>
    <w:p>
      <w:pPr>
        <w:ind w:left="420" w:right="120"/>
        <w:spacing w:after="0" w:line="282" w:lineRule="auto"/>
        <w:rPr>
          <w:sz w:val="20"/>
          <w:szCs w:val="20"/>
          <w:color w:val="auto"/>
        </w:rPr>
      </w:pPr>
      <w:r>
        <w:rPr>
          <w:rFonts w:ascii="Times New Roman" w:cs="Times New Roman" w:eastAsia="Times New Roman" w:hAnsi="Times New Roman"/>
          <w:sz w:val="20"/>
          <w:szCs w:val="20"/>
          <w:b w:val="1"/>
          <w:bCs w:val="1"/>
          <w:i w:val="1"/>
          <w:iCs w:val="1"/>
          <w:color w:val="auto"/>
        </w:rPr>
        <w:t>We have broad discretion to determine how to use the funds raised in this offering, and may use them in ways that may not enhance our operating results or the price of our common stock.</w:t>
      </w:r>
    </w:p>
    <w:p>
      <w:pPr>
        <w:spacing w:after="0" w:line="26" w:lineRule="exact"/>
        <w:rPr>
          <w:sz w:val="20"/>
          <w:szCs w:val="20"/>
          <w:color w:val="auto"/>
        </w:rPr>
      </w:pPr>
    </w:p>
    <w:p>
      <w:pPr>
        <w:ind w:left="420" w:right="40"/>
        <w:spacing w:after="0" w:line="245" w:lineRule="auto"/>
        <w:rPr>
          <w:sz w:val="20"/>
          <w:szCs w:val="20"/>
          <w:color w:val="auto"/>
        </w:rPr>
      </w:pPr>
      <w:r>
        <w:rPr>
          <w:rFonts w:ascii="Times New Roman" w:cs="Times New Roman" w:eastAsia="Times New Roman" w:hAnsi="Times New Roman"/>
          <w:sz w:val="20"/>
          <w:szCs w:val="20"/>
          <w:color w:val="auto"/>
        </w:rPr>
        <w:t>Our management will have broad discretion over the use of proceeds from this offering, and we could spend the proceeds from this offering in ways our stockholders may not agree with or that do not yield a favorable return, if at all. Because of the number and variability of factors that will determine our use of the proceeds from this offering, their ultimate use may vary substantially from their currently intended use. We expect to use the proceeds from this offering for working capital and other general corporate purposes, which may include funding commercialization efforts and research and development activities. If we do not invest or apply the proceeds from this offering in ways that enhance stockholder value, we may fail to achieve expected financial results, which could cause our stock price to decline.</w:t>
      </w:r>
    </w:p>
    <w:p>
      <w:pPr>
        <w:spacing w:after="0" w:line="2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i w:val="1"/>
          <w:iCs w:val="1"/>
          <w:color w:val="auto"/>
        </w:rPr>
        <w:t>The trading price of our common stock has been volatile and may be volatile in the future.</w:t>
      </w:r>
    </w:p>
    <w:p>
      <w:pPr>
        <w:spacing w:after="0" w:line="107" w:lineRule="exact"/>
        <w:rPr>
          <w:sz w:val="20"/>
          <w:szCs w:val="20"/>
          <w:color w:val="auto"/>
        </w:rPr>
      </w:pPr>
    </w:p>
    <w:p>
      <w:pPr>
        <w:ind w:left="420"/>
        <w:spacing w:after="0" w:line="257" w:lineRule="auto"/>
        <w:rPr>
          <w:sz w:val="20"/>
          <w:szCs w:val="20"/>
          <w:color w:val="auto"/>
        </w:rPr>
      </w:pPr>
      <w:r>
        <w:rPr>
          <w:rFonts w:ascii="Times New Roman" w:cs="Times New Roman" w:eastAsia="Times New Roman" w:hAnsi="Times New Roman"/>
          <w:sz w:val="20"/>
          <w:szCs w:val="20"/>
          <w:color w:val="auto"/>
        </w:rPr>
        <w:t>The trading price of our common stock could fluctuate significantly, as it has in the past, and you may not be able to resell your shares at or above the purchase price. We cannot assure you that the trading price of our common stock will not fluctuate or decline significantly in the future. The trading price for our common stock may be affected by a number of factors, including:</w:t>
      </w:r>
    </w:p>
    <w:p>
      <w:pPr>
        <w:spacing w:after="0" w:line="178" w:lineRule="exact"/>
        <w:rPr>
          <w:sz w:val="20"/>
          <w:szCs w:val="20"/>
          <w:color w:val="auto"/>
        </w:rPr>
      </w:pPr>
    </w:p>
    <w:p>
      <w:pPr>
        <w:ind w:left="1240" w:hanging="404"/>
        <w:spacing w:after="0"/>
        <w:tabs>
          <w:tab w:leader="none" w:pos="12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accomplish clinical, regulatory and other drug development milestones;</w:t>
      </w:r>
    </w:p>
    <w:p>
      <w:pPr>
        <w:spacing w:after="0" w:line="22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of our product candidates to achieve market success;</w:t>
      </w:r>
    </w:p>
    <w:p>
      <w:pPr>
        <w:spacing w:after="0" w:line="22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of third-party manufacturers and suppliers;</w:t>
      </w:r>
    </w:p>
    <w:p>
      <w:pPr>
        <w:spacing w:after="0" w:line="22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common stock or other securities by us or our stockholders in the future;</w:t>
      </w:r>
    </w:p>
    <w:p>
      <w:pPr>
        <w:spacing w:after="0" w:line="22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trading volume of our common stock;</w:t>
      </w:r>
    </w:p>
    <w:p>
      <w:pPr>
        <w:spacing w:after="0" w:line="22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investor perceptions about us and our industry;</w:t>
      </w:r>
    </w:p>
    <w:p>
      <w:pPr>
        <w:spacing w:after="0" w:line="22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 reaction to our press releases, other public announcements and SEC and other filings;</w:t>
      </w:r>
    </w:p>
    <w:p>
      <w:pPr>
        <w:spacing w:after="0" w:line="22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analysts to cover us, or changes in analysts’ estimates or recommendations;</w:t>
      </w:r>
    </w:p>
    <w:p>
      <w:pPr>
        <w:spacing w:after="0" w:line="13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S-9</w:t>
      </w:r>
    </w:p>
    <w:p>
      <w:pPr>
        <w:sectPr>
          <w:pgSz w:w="11900" w:h="16838" w:orient="portrait"/>
          <w:cols w:equalWidth="0" w:num="1">
            <w:col w:w="10820"/>
          </w:cols>
          <w:pgMar w:left="320" w:top="437" w:right="7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1">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6" w:lineRule="exact"/>
        <w:rPr>
          <w:sz w:val="20"/>
          <w:szCs w:val="20"/>
          <w:color w:val="auto"/>
        </w:rPr>
      </w:pPr>
    </w:p>
    <w:p>
      <w:pPr>
        <w:ind w:left="1240" w:hanging="404"/>
        <w:spacing w:after="0"/>
        <w:tabs>
          <w:tab w:leader="none" w:pos="12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by us to meet analysts’ projections or guidance;</w:t>
      </w:r>
    </w:p>
    <w:p>
      <w:pPr>
        <w:spacing w:after="0" w:line="228" w:lineRule="exact"/>
        <w:rPr>
          <w:rFonts w:ascii="Times New Roman" w:cs="Times New Roman" w:eastAsia="Times New Roman" w:hAnsi="Times New Roman"/>
          <w:sz w:val="20"/>
          <w:szCs w:val="20"/>
          <w:color w:val="auto"/>
        </w:rPr>
      </w:pPr>
    </w:p>
    <w:p>
      <w:pPr>
        <w:ind w:left="1240" w:right="100" w:hanging="404"/>
        <w:spacing w:after="0" w:line="276" w:lineRule="auto"/>
        <w:tabs>
          <w:tab w:leader="none" w:pos="12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denial or delay of regulatory approvals of our product candidates or receipt of regulatory approval of competing products; and</w:t>
      </w:r>
    </w:p>
    <w:p>
      <w:pPr>
        <w:spacing w:after="0" w:line="15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risk factors described elsewhere in our public filings.</w:t>
      </w:r>
    </w:p>
    <w:p>
      <w:pPr>
        <w:spacing w:after="0" w:line="203" w:lineRule="exact"/>
        <w:rPr>
          <w:sz w:val="20"/>
          <w:szCs w:val="20"/>
          <w:color w:val="auto"/>
        </w:rPr>
      </w:pPr>
    </w:p>
    <w:p>
      <w:pPr>
        <w:ind w:left="420" w:right="60"/>
        <w:spacing w:after="0" w:line="246" w:lineRule="auto"/>
        <w:rPr>
          <w:sz w:val="20"/>
          <w:szCs w:val="20"/>
          <w:color w:val="auto"/>
        </w:rPr>
      </w:pPr>
      <w:r>
        <w:rPr>
          <w:rFonts w:ascii="Times New Roman" w:cs="Times New Roman" w:eastAsia="Times New Roman" w:hAnsi="Times New Roman"/>
          <w:sz w:val="20"/>
          <w:szCs w:val="20"/>
          <w:color w:val="auto"/>
        </w:rPr>
        <w:t>In addition, the stock markets in general, and the markets for biopharmaceutical and biotechnology stocks in particular, have experienced extreme volatility that may have been unrelated to the operating performance of the issuer. These broad market fluctuations may adversely affect the trading price or liquidity of our common stock. In the past, when the trading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w:t>
      </w:r>
    </w:p>
    <w:p>
      <w:pPr>
        <w:spacing w:after="0" w:line="261" w:lineRule="exact"/>
        <w:rPr>
          <w:sz w:val="20"/>
          <w:szCs w:val="20"/>
          <w:color w:val="auto"/>
        </w:rPr>
      </w:pPr>
    </w:p>
    <w:p>
      <w:pPr>
        <w:ind w:left="420" w:right="340"/>
        <w:spacing w:after="0" w:line="282" w:lineRule="auto"/>
        <w:rPr>
          <w:sz w:val="20"/>
          <w:szCs w:val="20"/>
          <w:color w:val="auto"/>
        </w:rPr>
      </w:pPr>
      <w:r>
        <w:rPr>
          <w:rFonts w:ascii="Times New Roman" w:cs="Times New Roman" w:eastAsia="Times New Roman" w:hAnsi="Times New Roman"/>
          <w:sz w:val="20"/>
          <w:szCs w:val="20"/>
          <w:b w:val="1"/>
          <w:bCs w:val="1"/>
          <w:i w:val="1"/>
          <w:iCs w:val="1"/>
          <w:color w:val="auto"/>
        </w:rPr>
        <w:t>Future sales or issuances of our common stock in the public markets, or the perception of such sales, could depress the trading price of our common stock.</w:t>
      </w:r>
    </w:p>
    <w:p>
      <w:pPr>
        <w:spacing w:after="0" w:line="26" w:lineRule="exact"/>
        <w:rPr>
          <w:sz w:val="20"/>
          <w:szCs w:val="20"/>
          <w:color w:val="auto"/>
        </w:rPr>
      </w:pPr>
    </w:p>
    <w:p>
      <w:pPr>
        <w:ind w:left="420" w:right="60"/>
        <w:spacing w:after="0" w:line="248" w:lineRule="auto"/>
        <w:rPr>
          <w:sz w:val="20"/>
          <w:szCs w:val="20"/>
          <w:color w:val="auto"/>
        </w:rPr>
      </w:pPr>
      <w:r>
        <w:rPr>
          <w:rFonts w:ascii="Times New Roman" w:cs="Times New Roman" w:eastAsia="Times New Roman" w:hAnsi="Times New Roman"/>
          <w:sz w:val="20"/>
          <w:szCs w:val="20"/>
          <w:color w:val="auto"/>
        </w:rPr>
        <w:t>The sale of a substantial number of shares of our common stock or other equity-related securities in the public markets, or the perception that such sales could occur, could depress the market price of our common stock and impair our ability to raise capital through the sale of additional equity securities. We may sell large quantities of our common stock at any time pursuant to this prospectus or in one or more separate offerings. We cannot predict the effect that future sales of common stock or other equity-related securities would have on the market price of our common stock.</w:t>
      </w:r>
    </w:p>
    <w:p>
      <w:pPr>
        <w:spacing w:after="0" w:line="257" w:lineRule="exact"/>
        <w:rPr>
          <w:sz w:val="20"/>
          <w:szCs w:val="20"/>
          <w:color w:val="auto"/>
        </w:rPr>
      </w:pPr>
    </w:p>
    <w:p>
      <w:pPr>
        <w:ind w:left="420" w:right="60"/>
        <w:spacing w:after="0" w:line="282" w:lineRule="auto"/>
        <w:rPr>
          <w:sz w:val="20"/>
          <w:szCs w:val="20"/>
          <w:color w:val="auto"/>
        </w:rPr>
      </w:pPr>
      <w:r>
        <w:rPr>
          <w:rFonts w:ascii="Times New Roman" w:cs="Times New Roman" w:eastAsia="Times New Roman" w:hAnsi="Times New Roman"/>
          <w:sz w:val="20"/>
          <w:szCs w:val="20"/>
          <w:b w:val="1"/>
          <w:bCs w:val="1"/>
          <w:i w:val="1"/>
          <w:iCs w:val="1"/>
          <w:color w:val="auto"/>
        </w:rPr>
        <w:t>The actual number of shares we will issue under the ATM Agreement and the gross proceeds resulting from those sales, at any one time or in total, is uncertain.</w:t>
      </w:r>
    </w:p>
    <w:p>
      <w:pPr>
        <w:spacing w:after="0" w:line="26" w:lineRule="exact"/>
        <w:rPr>
          <w:sz w:val="20"/>
          <w:szCs w:val="20"/>
          <w:color w:val="auto"/>
        </w:rPr>
      </w:pPr>
    </w:p>
    <w:p>
      <w:pPr>
        <w:ind w:left="420" w:right="180"/>
        <w:spacing w:after="0" w:line="246" w:lineRule="auto"/>
        <w:rPr>
          <w:sz w:val="20"/>
          <w:szCs w:val="20"/>
          <w:color w:val="auto"/>
        </w:rPr>
      </w:pPr>
      <w:r>
        <w:rPr>
          <w:rFonts w:ascii="Times New Roman" w:cs="Times New Roman" w:eastAsia="Times New Roman" w:hAnsi="Times New Roman"/>
          <w:sz w:val="20"/>
          <w:szCs w:val="20"/>
          <w:color w:val="auto"/>
        </w:rPr>
        <w:t>Subject to certain limitations in the ATM Agreement and compliance with applicable law, we have the discretion to deliver a placement notice to HCW at any time throughout the term of the ATM Agreement. The number of shares that are sold by HCW after delivering a placement notice will fluctuate based on the market price and trading volume of our common stock during the sales period and limits we set. Because the price per share of each share sold will fluctuate based on the market price of our common stock during the sales period, it is not possible at this stage to predict the number of shares that will be ultimately issued, the price per share or the gross proceeds to be raised in connection with those sales.</w:t>
      </w:r>
    </w:p>
    <w:p>
      <w:pPr>
        <w:spacing w:after="0" w:line="261" w:lineRule="exact"/>
        <w:rPr>
          <w:sz w:val="20"/>
          <w:szCs w:val="20"/>
          <w:color w:val="auto"/>
        </w:rPr>
      </w:pPr>
    </w:p>
    <w:p>
      <w:pPr>
        <w:ind w:left="420" w:right="60"/>
        <w:spacing w:after="0" w:line="282" w:lineRule="auto"/>
        <w:rPr>
          <w:sz w:val="20"/>
          <w:szCs w:val="20"/>
          <w:color w:val="auto"/>
        </w:rPr>
      </w:pPr>
      <w:r>
        <w:rPr>
          <w:rFonts w:ascii="Times New Roman" w:cs="Times New Roman" w:eastAsia="Times New Roman" w:hAnsi="Times New Roman"/>
          <w:sz w:val="20"/>
          <w:szCs w:val="20"/>
          <w:b w:val="1"/>
          <w:bCs w:val="1"/>
          <w:i w:val="1"/>
          <w:iCs w:val="1"/>
          <w:color w:val="auto"/>
        </w:rPr>
        <w:t>The common stock offered hereby will be sold in “at the market offerings,” and investors who buy shares at different times will likely pay different prices.</w:t>
      </w:r>
    </w:p>
    <w:p>
      <w:pPr>
        <w:spacing w:after="0" w:line="26" w:lineRule="exact"/>
        <w:rPr>
          <w:sz w:val="20"/>
          <w:szCs w:val="20"/>
          <w:color w:val="auto"/>
        </w:rPr>
      </w:pPr>
    </w:p>
    <w:p>
      <w:pPr>
        <w:ind w:left="420"/>
        <w:spacing w:after="0" w:line="251" w:lineRule="auto"/>
        <w:rPr>
          <w:sz w:val="20"/>
          <w:szCs w:val="20"/>
          <w:color w:val="auto"/>
        </w:rPr>
      </w:pPr>
      <w:r>
        <w:rPr>
          <w:rFonts w:ascii="Times New Roman" w:cs="Times New Roman" w:eastAsia="Times New Roman" w:hAnsi="Times New Roman"/>
          <w:sz w:val="20"/>
          <w:szCs w:val="20"/>
          <w:color w:val="auto"/>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w:t>
      </w:r>
    </w:p>
    <w:p>
      <w:pPr>
        <w:spacing w:after="0" w:line="9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20"/>
          <w:szCs w:val="20"/>
          <w:color w:val="auto"/>
        </w:rPr>
        <w:t>S-10</w:t>
      </w:r>
    </w:p>
    <w:p>
      <w:pPr>
        <w:sectPr>
          <w:pgSz w:w="11900" w:h="16838" w:orient="portrait"/>
          <w:cols w:equalWidth="0" w:num="1">
            <w:col w:w="10760"/>
          </w:cols>
          <w:pgMar w:left="320" w:top="437" w:right="8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2">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207" w:lineRule="exact"/>
        <w:rPr>
          <w:sz w:val="20"/>
          <w:szCs w:val="20"/>
          <w:color w:val="auto"/>
        </w:rPr>
      </w:pPr>
    </w:p>
    <w:p>
      <w:pPr>
        <w:ind w:left="420"/>
        <w:spacing w:after="0" w:line="241" w:lineRule="auto"/>
        <w:rPr>
          <w:sz w:val="20"/>
          <w:szCs w:val="20"/>
          <w:color w:val="auto"/>
        </w:rPr>
      </w:pPr>
      <w:r>
        <w:rPr>
          <w:rFonts w:ascii="Times New Roman" w:cs="Times New Roman" w:eastAsia="Times New Roman" w:hAnsi="Times New Roman"/>
          <w:sz w:val="20"/>
          <w:szCs w:val="20"/>
          <w:color w:val="auto"/>
        </w:rPr>
        <w:t>The information in this prospectus, the accompanying prospectus and the documents incorporated by reference herein and therein and any prospectus supplement that we have authorized for use in connection with this offering contain forward-looking statements and information within the meaning of Section 27A of the Securities Act and Section 21E of the Securities Exchange Act of 1934, as amended, or the Exchange Act, which are subject to the “safe harbor” created by those sections. These forward-looking statements include, but are not limited to, statements regarding our future results of operations and financial position, business strategy, prospective products and product candidates, their expected performance and impact on healthcare costs, marketing clearance from the U.S. Food and Drug Administration, or the FDA, regulatory clearance, reimbursement for our product candidates, research and development costs, timing of regulatory filings, timing and likelihood of success, plans and objectives of management for future operations and future results of anticipated products.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“will,” “should,” “expect,” “plan,” “anticipate,” “could,” “intend,” “target,” “project,” “contemplate,” “believe,” “estimate,” “forecast,” “predict,” “potential” or “continue” or the negative of these terms or other similar expressions. All such forward-looking statements involve significant risks and uncertainties, including, but not limited to, statements regarding:</w:t>
      </w:r>
    </w:p>
    <w:p>
      <w:pPr>
        <w:spacing w:after="0" w:line="203" w:lineRule="exact"/>
        <w:rPr>
          <w:sz w:val="20"/>
          <w:szCs w:val="20"/>
          <w:color w:val="auto"/>
        </w:rPr>
      </w:pPr>
    </w:p>
    <w:p>
      <w:pPr>
        <w:ind w:left="1240" w:hanging="404"/>
        <w:spacing w:after="0"/>
        <w:tabs>
          <w:tab w:leader="none" w:pos="12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continue as a going concern;</w:t>
      </w:r>
    </w:p>
    <w:p>
      <w:pPr>
        <w:spacing w:after="0" w:line="22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compliance with Nasdaq listing requirements;</w:t>
      </w:r>
    </w:p>
    <w:p>
      <w:pPr>
        <w:spacing w:after="0" w:line="228" w:lineRule="exact"/>
        <w:rPr>
          <w:rFonts w:ascii="Times New Roman" w:cs="Times New Roman" w:eastAsia="Times New Roman" w:hAnsi="Times New Roman"/>
          <w:sz w:val="20"/>
          <w:szCs w:val="20"/>
          <w:color w:val="auto"/>
        </w:rPr>
      </w:pPr>
    </w:p>
    <w:p>
      <w:pPr>
        <w:ind w:left="1240" w:right="520" w:hanging="404"/>
        <w:spacing w:after="0" w:line="276" w:lineRule="auto"/>
        <w:tabs>
          <w:tab w:leader="none" w:pos="12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 to incur losses in the future and our ability to utilize limited net operating losses against future profitability, if any;</w:t>
      </w:r>
    </w:p>
    <w:p>
      <w:pPr>
        <w:spacing w:after="0" w:line="15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the terms of our debt instruments;</w:t>
      </w:r>
    </w:p>
    <w:p>
      <w:pPr>
        <w:spacing w:after="0" w:line="22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impact of litigation, including our ability to adequately resolve current legal claims;</w:t>
      </w:r>
    </w:p>
    <w:p>
      <w:pPr>
        <w:spacing w:after="0" w:line="22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status as an early-stage commercial company;</w:t>
      </w:r>
    </w:p>
    <w:p>
      <w:pPr>
        <w:spacing w:after="0" w:line="22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market acceptance of our technology;</w:t>
      </w:r>
    </w:p>
    <w:p>
      <w:pPr>
        <w:spacing w:after="0" w:line="228" w:lineRule="exact"/>
        <w:rPr>
          <w:rFonts w:ascii="Times New Roman" w:cs="Times New Roman" w:eastAsia="Times New Roman" w:hAnsi="Times New Roman"/>
          <w:sz w:val="20"/>
          <w:szCs w:val="20"/>
          <w:color w:val="auto"/>
        </w:rPr>
      </w:pPr>
    </w:p>
    <w:p>
      <w:pPr>
        <w:ind w:left="1240" w:right="880" w:hanging="404"/>
        <w:spacing w:after="0" w:line="276" w:lineRule="auto"/>
        <w:tabs>
          <w:tab w:leader="none" w:pos="12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timely and successfully develop and commercialize our existing products and future product candidates;</w:t>
      </w:r>
    </w:p>
    <w:p>
      <w:pPr>
        <w:spacing w:after="0" w:line="15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length and variability of our anticipated sales and adoption cycle;</w:t>
      </w:r>
    </w:p>
    <w:p>
      <w:pPr>
        <w:spacing w:after="0" w:line="228" w:lineRule="exact"/>
        <w:rPr>
          <w:rFonts w:ascii="Times New Roman" w:cs="Times New Roman" w:eastAsia="Times New Roman" w:hAnsi="Times New Roman"/>
          <w:sz w:val="20"/>
          <w:szCs w:val="20"/>
          <w:color w:val="auto"/>
        </w:rPr>
      </w:pPr>
    </w:p>
    <w:p>
      <w:pPr>
        <w:ind w:left="1240" w:right="220" w:hanging="404"/>
        <w:spacing w:after="0" w:line="276" w:lineRule="auto"/>
        <w:tabs>
          <w:tab w:leader="none" w:pos="12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gain the support of hospitals and key thought leaders and publish the results of our clinical studies in peer-reviewed journals;</w:t>
      </w:r>
    </w:p>
    <w:p>
      <w:pPr>
        <w:spacing w:after="0" w:line="7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20"/>
          <w:szCs w:val="20"/>
          <w:color w:val="auto"/>
        </w:rPr>
        <w:t>S-11</w:t>
      </w:r>
    </w:p>
    <w:p>
      <w:pPr>
        <w:sectPr>
          <w:pgSz w:w="11900" w:h="16838" w:orient="portrait"/>
          <w:cols w:equalWidth="0" w:num="1">
            <w:col w:w="10760"/>
          </w:cols>
          <w:pgMar w:left="320" w:top="437" w:right="8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3">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6" w:lineRule="exact"/>
        <w:rPr>
          <w:sz w:val="20"/>
          <w:szCs w:val="20"/>
          <w:color w:val="auto"/>
        </w:rPr>
      </w:pPr>
    </w:p>
    <w:p>
      <w:pPr>
        <w:ind w:left="1240" w:hanging="404"/>
        <w:spacing w:after="0"/>
        <w:tabs>
          <w:tab w:leader="none" w:pos="12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manage our growth;</w:t>
      </w:r>
    </w:p>
    <w:p>
      <w:pPr>
        <w:spacing w:after="0" w:line="22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future capital needs and our ability to raise additional funds;</w:t>
      </w:r>
    </w:p>
    <w:p>
      <w:pPr>
        <w:spacing w:after="0" w:line="22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demand for, and prices of, raw materials and other supplies;</w:t>
      </w:r>
    </w:p>
    <w:p>
      <w:pPr>
        <w:spacing w:after="0" w:line="22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recruit, train and retain key personnel;</w:t>
      </w:r>
    </w:p>
    <w:p>
      <w:pPr>
        <w:spacing w:after="0" w:line="22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of our diagnostics;</w:t>
      </w:r>
    </w:p>
    <w:p>
      <w:pPr>
        <w:spacing w:after="0" w:line="22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compete in the highly competitive diagnostics market;</w:t>
      </w:r>
    </w:p>
    <w:p>
      <w:pPr>
        <w:spacing w:after="0" w:line="228" w:lineRule="exact"/>
        <w:rPr>
          <w:rFonts w:ascii="Times New Roman" w:cs="Times New Roman" w:eastAsia="Times New Roman" w:hAnsi="Times New Roman"/>
          <w:sz w:val="20"/>
          <w:szCs w:val="20"/>
          <w:color w:val="auto"/>
        </w:rPr>
      </w:pPr>
    </w:p>
    <w:p>
      <w:pPr>
        <w:ind w:left="1240" w:right="160" w:hanging="404"/>
        <w:spacing w:after="0" w:line="276" w:lineRule="auto"/>
        <w:tabs>
          <w:tab w:leader="none" w:pos="12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manufacturing and other product risks, including unforeseen interruptions in the manufacturing of our products and backlogs in order fulfillment;</w:t>
      </w:r>
    </w:p>
    <w:p>
      <w:pPr>
        <w:spacing w:after="0" w:line="15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dependence on third parties;</w:t>
      </w:r>
    </w:p>
    <w:p>
      <w:pPr>
        <w:spacing w:after="0" w:line="228" w:lineRule="exact"/>
        <w:rPr>
          <w:rFonts w:ascii="Times New Roman" w:cs="Times New Roman" w:eastAsia="Times New Roman" w:hAnsi="Times New Roman"/>
          <w:sz w:val="20"/>
          <w:szCs w:val="20"/>
          <w:color w:val="auto"/>
        </w:rPr>
      </w:pPr>
    </w:p>
    <w:p>
      <w:pPr>
        <w:ind w:left="1240" w:right="100" w:hanging="404"/>
        <w:spacing w:after="0" w:line="276" w:lineRule="auto"/>
        <w:tabs>
          <w:tab w:leader="none" w:pos="12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cybersecurity risks, including ransomware, phishing, and data breaches on our information technology systems;</w:t>
      </w:r>
    </w:p>
    <w:p>
      <w:pPr>
        <w:spacing w:after="0" w:line="158" w:lineRule="exact"/>
        <w:rPr>
          <w:rFonts w:ascii="Times New Roman" w:cs="Times New Roman" w:eastAsia="Times New Roman" w:hAnsi="Times New Roman"/>
          <w:sz w:val="20"/>
          <w:szCs w:val="20"/>
          <w:color w:val="auto"/>
        </w:rPr>
      </w:pPr>
    </w:p>
    <w:p>
      <w:pPr>
        <w:ind w:left="1240" w:right="380" w:hanging="404"/>
        <w:spacing w:after="0" w:line="276" w:lineRule="auto"/>
        <w:tabs>
          <w:tab w:leader="none" w:pos="12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obtain marketing clearance from the U.S. Food and Drug Administration or regulatory clearance or certifications for new product candidates in other jurisdictions. including IVDR in the European Union;</w:t>
      </w:r>
    </w:p>
    <w:p>
      <w:pPr>
        <w:spacing w:after="0" w:line="158" w:lineRule="exact"/>
        <w:rPr>
          <w:rFonts w:ascii="Times New Roman" w:cs="Times New Roman" w:eastAsia="Times New Roman" w:hAnsi="Times New Roman"/>
          <w:sz w:val="20"/>
          <w:szCs w:val="20"/>
          <w:color w:val="auto"/>
        </w:rPr>
      </w:pPr>
    </w:p>
    <w:p>
      <w:pPr>
        <w:ind w:left="1240" w:right="40" w:hanging="404"/>
        <w:spacing w:after="0" w:line="276" w:lineRule="auto"/>
        <w:tabs>
          <w:tab w:leader="none" w:pos="12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federal, state, and foreign regulatory requirements, including diagnostic product reimbursements and FDA regulation of our products and product candidates;</w:t>
      </w:r>
    </w:p>
    <w:p>
      <w:pPr>
        <w:spacing w:after="0" w:line="158" w:lineRule="exact"/>
        <w:rPr>
          <w:rFonts w:ascii="Times New Roman" w:cs="Times New Roman" w:eastAsia="Times New Roman" w:hAnsi="Times New Roman"/>
          <w:sz w:val="20"/>
          <w:szCs w:val="20"/>
          <w:color w:val="auto"/>
        </w:rPr>
      </w:pPr>
    </w:p>
    <w:p>
      <w:pPr>
        <w:ind w:left="1240" w:right="400" w:hanging="404"/>
        <w:spacing w:after="0" w:line="276" w:lineRule="auto"/>
        <w:tabs>
          <w:tab w:leader="none" w:pos="12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protect and enforce our intellectual property rights, including our trade secret-protected proprietary rights in our technology;</w:t>
      </w:r>
    </w:p>
    <w:p>
      <w:pPr>
        <w:spacing w:after="0" w:line="15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active trading market for our common stock;</w:t>
      </w:r>
    </w:p>
    <w:p>
      <w:pPr>
        <w:spacing w:after="0" w:line="22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volatility of our stock price which may be impacted by short sellers and day traders; and</w:t>
      </w:r>
    </w:p>
    <w:p>
      <w:pPr>
        <w:spacing w:after="0" w:line="22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an effective system of internal control over financial reporting.</w:t>
      </w:r>
    </w:p>
    <w:p>
      <w:pPr>
        <w:spacing w:after="0" w:line="203" w:lineRule="exact"/>
        <w:rPr>
          <w:sz w:val="20"/>
          <w:szCs w:val="20"/>
          <w:color w:val="auto"/>
        </w:rPr>
      </w:pPr>
    </w:p>
    <w:p>
      <w:pPr>
        <w:ind w:left="420"/>
        <w:spacing w:after="0" w:line="244" w:lineRule="auto"/>
        <w:rPr>
          <w:sz w:val="20"/>
          <w:szCs w:val="20"/>
          <w:color w:val="auto"/>
        </w:rPr>
      </w:pPr>
      <w:r>
        <w:rPr>
          <w:rFonts w:ascii="Times New Roman" w:cs="Times New Roman" w:eastAsia="Times New Roman" w:hAnsi="Times New Roman"/>
          <w:sz w:val="20"/>
          <w:szCs w:val="20"/>
          <w:color w:val="auto"/>
        </w:rPr>
        <w:t>As more fully described under the heading “Risk Factors” and elsewhere in this prospectus and under “Risk Factors” in our Annual Report on Form 10-K for the year ended December 31, 2023 and any additional documents incorporated by reference herein and therein and any prospectus supplement, many important factors affect our ability to achieve our stated objectives and to develop and commercialize any product candidates. We may not actually achieve the plans, intentions or expectations disclosed in our forward-looking statements and you should not place undue reliance on our forward-looking statements. These forward-looking statements involve risks and uncertainties that could cause our actual results to differ materially from those in the forward-looking statements, including, without limitation, the risks and uncertainties set forth in our filings with the SEC and incorporated by</w:t>
      </w:r>
    </w:p>
    <w:p>
      <w:pPr>
        <w:spacing w:after="0" w:line="10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S-12</w:t>
      </w:r>
    </w:p>
    <w:p>
      <w:pPr>
        <w:sectPr>
          <w:pgSz w:w="11900" w:h="16838" w:orient="portrait"/>
          <w:cols w:equalWidth="0" w:num="1">
            <w:col w:w="10820"/>
          </w:cols>
          <w:pgMar w:left="320" w:top="437" w:right="7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4">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6" w:lineRule="exact"/>
        <w:rPr>
          <w:sz w:val="20"/>
          <w:szCs w:val="20"/>
          <w:color w:val="auto"/>
        </w:rPr>
      </w:pPr>
    </w:p>
    <w:p>
      <w:pPr>
        <w:ind w:left="420"/>
        <w:spacing w:after="0" w:line="246" w:lineRule="auto"/>
        <w:rPr>
          <w:sz w:val="20"/>
          <w:szCs w:val="20"/>
          <w:color w:val="auto"/>
        </w:rPr>
      </w:pPr>
      <w:r>
        <w:rPr>
          <w:rFonts w:ascii="Times New Roman" w:cs="Times New Roman" w:eastAsia="Times New Roman" w:hAnsi="Times New Roman"/>
          <w:sz w:val="20"/>
          <w:szCs w:val="20"/>
          <w:color w:val="auto"/>
        </w:rPr>
        <w:t>reference herein. You should read this prospectus, the accompanying prospectus and the documents incorporated by reference herein and therein and prospectuses supplement that we have authorized for use in this offering with the understanding that our actual results or events could differ materially from the plans, intentions and expectations disclosed in the forward-looking statements that we make. The forward-looking statements are applicable only as of the date on which they are made, and we do not assume any obligation to update any forward-looking statements, whether as a result of new information, future events or otherwise, except as required by law.</w:t>
      </w:r>
    </w:p>
    <w:p>
      <w:pPr>
        <w:spacing w:after="0" w:line="10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S-13</w:t>
      </w:r>
    </w:p>
    <w:p>
      <w:pPr>
        <w:sectPr>
          <w:pgSz w:w="11900" w:h="16838" w:orient="portrait"/>
          <w:cols w:equalWidth="0" w:num="1">
            <w:col w:w="10820"/>
          </w:cols>
          <w:pgMar w:left="320" w:top="437" w:right="7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5">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20"/>
          <w:szCs w:val="20"/>
          <w:b w:val="1"/>
          <w:bCs w:val="1"/>
          <w:color w:val="auto"/>
        </w:rPr>
        <w:t>USE OF PROCEEDS</w:t>
      </w:r>
    </w:p>
    <w:p>
      <w:pPr>
        <w:spacing w:after="0" w:line="207" w:lineRule="exact"/>
        <w:rPr>
          <w:sz w:val="20"/>
          <w:szCs w:val="20"/>
          <w:color w:val="auto"/>
        </w:rPr>
      </w:pPr>
    </w:p>
    <w:p>
      <w:pPr>
        <w:jc w:val="both"/>
        <w:ind w:left="420" w:right="180"/>
        <w:spacing w:after="0" w:line="257" w:lineRule="auto"/>
        <w:rPr>
          <w:sz w:val="20"/>
          <w:szCs w:val="20"/>
          <w:color w:val="auto"/>
        </w:rPr>
      </w:pPr>
      <w:r>
        <w:rPr>
          <w:rFonts w:ascii="Times New Roman" w:cs="Times New Roman" w:eastAsia="Times New Roman" w:hAnsi="Times New Roman"/>
          <w:sz w:val="20"/>
          <w:szCs w:val="20"/>
          <w:color w:val="auto"/>
        </w:rPr>
        <w:t>We may issue and sell shares of our common stock having aggregate sales proceeds of up to $14,658,742 from time to time under this prospectus. Because there is no minimum offering amount required as a condition to close this offering, the actual total public offering amount, commissions and proceeds to us, if any, are not determinable at this time.</w:t>
      </w:r>
    </w:p>
    <w:p>
      <w:pPr>
        <w:spacing w:after="0" w:line="153" w:lineRule="exact"/>
        <w:rPr>
          <w:sz w:val="20"/>
          <w:szCs w:val="20"/>
          <w:color w:val="auto"/>
        </w:rPr>
      </w:pPr>
    </w:p>
    <w:p>
      <w:pPr>
        <w:ind w:left="420" w:right="220"/>
        <w:spacing w:after="0" w:line="276" w:lineRule="auto"/>
        <w:rPr>
          <w:sz w:val="20"/>
          <w:szCs w:val="20"/>
          <w:color w:val="auto"/>
        </w:rPr>
      </w:pPr>
      <w:r>
        <w:rPr>
          <w:rFonts w:ascii="Times New Roman" w:cs="Times New Roman" w:eastAsia="Times New Roman" w:hAnsi="Times New Roman"/>
          <w:sz w:val="20"/>
          <w:szCs w:val="20"/>
          <w:color w:val="auto"/>
        </w:rPr>
        <w:t>We intend to use the net proceeds, if any, from this offering for working capital and other general corporate purposes, which may include funding commercialization efforts and research and development activities.</w:t>
      </w:r>
    </w:p>
    <w:p>
      <w:pPr>
        <w:spacing w:after="0" w:line="133" w:lineRule="exact"/>
        <w:rPr>
          <w:sz w:val="20"/>
          <w:szCs w:val="20"/>
          <w:color w:val="auto"/>
        </w:rPr>
      </w:pPr>
    </w:p>
    <w:p>
      <w:pPr>
        <w:ind w:left="420"/>
        <w:spacing w:after="0" w:line="245" w:lineRule="auto"/>
        <w:rPr>
          <w:sz w:val="20"/>
          <w:szCs w:val="20"/>
          <w:color w:val="auto"/>
        </w:rPr>
      </w:pPr>
      <w:r>
        <w:rPr>
          <w:rFonts w:ascii="Times New Roman" w:cs="Times New Roman" w:eastAsia="Times New Roman" w:hAnsi="Times New Roman"/>
          <w:sz w:val="20"/>
          <w:szCs w:val="20"/>
          <w:color w:val="auto"/>
        </w:rPr>
        <w:t>The amounts and timing of our actual expenditures will depend on numerous factors, including the progress of our clinical trials and other development efforts and other factors described under “Risk Factors” in this prospectus and the documents incorporated by reference herein and therein, as well as the amount of cash used in our operations. We may find it necessary or advisable to use the net proceeds for other purposes, and we will have broad discretion in the application of the net proceeds. Pending the use of the net proceeds described above, we plan to invest the net proceeds from this offering in a variety of capital preservation investments, including short- and intermediate-term, interest-bearing obligations, investment-grade instruments, certificates of deposit or direct or guaranteed obligations of the U.S. government.</w:t>
      </w:r>
    </w:p>
    <w:p>
      <w:pPr>
        <w:spacing w:after="0" w:line="10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20"/>
          <w:szCs w:val="20"/>
          <w:color w:val="auto"/>
        </w:rPr>
        <w:t>S-14</w:t>
      </w:r>
    </w:p>
    <w:p>
      <w:pPr>
        <w:sectPr>
          <w:pgSz w:w="11900" w:h="16838" w:orient="portrait"/>
          <w:cols w:equalWidth="0" w:num="1">
            <w:col w:w="10760"/>
          </w:cols>
          <w:pgMar w:left="320" w:top="437" w:right="8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6">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207" w:lineRule="exact"/>
        <w:rPr>
          <w:sz w:val="20"/>
          <w:szCs w:val="20"/>
          <w:color w:val="auto"/>
        </w:rPr>
      </w:pPr>
    </w:p>
    <w:p>
      <w:pPr>
        <w:ind w:left="420"/>
        <w:spacing w:after="0" w:line="248" w:lineRule="auto"/>
        <w:rPr>
          <w:sz w:val="20"/>
          <w:szCs w:val="20"/>
          <w:color w:val="auto"/>
        </w:rPr>
      </w:pPr>
      <w:r>
        <w:rPr>
          <w:rFonts w:ascii="Times New Roman" w:cs="Times New Roman" w:eastAsia="Times New Roman" w:hAnsi="Times New Roman"/>
          <w:sz w:val="20"/>
          <w:szCs w:val="20"/>
          <w:color w:val="auto"/>
        </w:rPr>
        <w:t>We have never declared or paid any cash dividends on our capital stock. We intend to retain future earnings, if any, to finance the operation and expansion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w:t>
      </w:r>
    </w:p>
    <w:p>
      <w:pPr>
        <w:spacing w:after="0" w:line="9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S-15</w:t>
      </w:r>
    </w:p>
    <w:p>
      <w:pPr>
        <w:sectPr>
          <w:pgSz w:w="11900" w:h="16838" w:orient="portrait"/>
          <w:cols w:equalWidth="0" w:num="1">
            <w:col w:w="10800"/>
          </w:cols>
          <w:pgMar w:left="320" w:top="437" w:right="7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7">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0"/>
          <w:szCs w:val="20"/>
          <w:b w:val="1"/>
          <w:bCs w:val="1"/>
          <w:color w:val="auto"/>
        </w:rPr>
        <w:t>DILUTION</w:t>
      </w:r>
    </w:p>
    <w:p>
      <w:pPr>
        <w:spacing w:after="0" w:line="207" w:lineRule="exact"/>
        <w:rPr>
          <w:sz w:val="20"/>
          <w:szCs w:val="20"/>
          <w:color w:val="auto"/>
        </w:rPr>
      </w:pPr>
    </w:p>
    <w:p>
      <w:pPr>
        <w:ind w:left="420" w:right="100"/>
        <w:spacing w:after="0" w:line="276" w:lineRule="auto"/>
        <w:rPr>
          <w:sz w:val="20"/>
          <w:szCs w:val="20"/>
          <w:color w:val="auto"/>
        </w:rPr>
      </w:pPr>
      <w:r>
        <w:rPr>
          <w:rFonts w:ascii="Times New Roman" w:cs="Times New Roman" w:eastAsia="Times New Roman" w:hAnsi="Times New Roman"/>
          <w:sz w:val="20"/>
          <w:szCs w:val="20"/>
          <w:color w:val="auto"/>
        </w:rPr>
        <w:t>If you invest in this offering, your ownership interest will be diluted to the extent of the difference between the price per share you pay in this offering and the as adjusted net tangible book value per share of our common stock after this offering.</w:t>
      </w:r>
    </w:p>
    <w:p>
      <w:pPr>
        <w:spacing w:after="0" w:line="133" w:lineRule="exact"/>
        <w:rPr>
          <w:sz w:val="20"/>
          <w:szCs w:val="20"/>
          <w:color w:val="auto"/>
        </w:rPr>
      </w:pPr>
    </w:p>
    <w:p>
      <w:pPr>
        <w:ind w:left="420" w:right="120"/>
        <w:spacing w:after="0" w:line="257" w:lineRule="auto"/>
        <w:rPr>
          <w:sz w:val="20"/>
          <w:szCs w:val="20"/>
          <w:color w:val="auto"/>
        </w:rPr>
      </w:pPr>
      <w:r>
        <w:rPr>
          <w:rFonts w:ascii="Times New Roman" w:cs="Times New Roman" w:eastAsia="Times New Roman" w:hAnsi="Times New Roman"/>
          <w:sz w:val="20"/>
          <w:szCs w:val="20"/>
          <w:color w:val="auto"/>
        </w:rPr>
        <w:t>As of March 31, 2024, we had a net tangible book value of approximately $(37.8) million, or approximately $(6.85) per share of common stock, based upon 5,512,332 shares outstanding. Our net tangible book value per share represents total tangible assets less total liabilities, divided by the number of shares of common stock outstanding at March 31, 2024.</w:t>
      </w:r>
    </w:p>
    <w:p>
      <w:pPr>
        <w:spacing w:after="0" w:line="153" w:lineRule="exact"/>
        <w:rPr>
          <w:sz w:val="20"/>
          <w:szCs w:val="20"/>
          <w:color w:val="auto"/>
        </w:rPr>
      </w:pPr>
    </w:p>
    <w:p>
      <w:pPr>
        <w:ind w:left="420" w:right="120"/>
        <w:spacing w:after="0" w:line="246" w:lineRule="auto"/>
        <w:rPr>
          <w:sz w:val="20"/>
          <w:szCs w:val="20"/>
          <w:color w:val="auto"/>
        </w:rPr>
      </w:pPr>
      <w:r>
        <w:rPr>
          <w:rFonts w:ascii="Times New Roman" w:cs="Times New Roman" w:eastAsia="Times New Roman" w:hAnsi="Times New Roman"/>
          <w:sz w:val="20"/>
          <w:szCs w:val="20"/>
          <w:color w:val="auto"/>
        </w:rPr>
        <w:t>After giving effect to the sale of our common stock in the aggregate amount of $14,658,742 million at an assumed offering price of $5.58 per share, the last reported sale price of our common stock on the Nasdaq Capital Market on July 17, 2024, and after deducting commissions and estimated offering expenses payable by us, our as adjusted net tangible book value as of March 31, 2024 would have been $(23.8) million, or $(2.92) per share of common stock. This represents an immediate increase in net tangible book value of $3.93 per share to our existing stockholders and an immediate dilution in net tangible book value of $8.50 per share to new investors in this offering.</w:t>
      </w:r>
    </w:p>
    <w:p>
      <w:pPr>
        <w:spacing w:after="0" w:line="165" w:lineRule="exact"/>
        <w:rPr>
          <w:sz w:val="20"/>
          <w:szCs w:val="20"/>
          <w:color w:val="auto"/>
        </w:rPr>
      </w:pPr>
    </w:p>
    <w:p>
      <w:pPr>
        <w:ind w:left="420"/>
        <w:spacing w:after="0" w:line="246" w:lineRule="auto"/>
        <w:rPr>
          <w:sz w:val="20"/>
          <w:szCs w:val="20"/>
          <w:color w:val="auto"/>
        </w:rPr>
      </w:pPr>
      <w:r>
        <w:rPr>
          <w:rFonts w:ascii="Times New Roman" w:cs="Times New Roman" w:eastAsia="Times New Roman" w:hAnsi="Times New Roman"/>
          <w:sz w:val="20"/>
          <w:szCs w:val="20"/>
          <w:color w:val="auto"/>
        </w:rPr>
        <w:t>The following table illustrates this calculation on a per share basis. The as adjusted information is illustrative only and will adjust based on the actual price to the public, the actual number of shares sold and other terms of the offering determined at the time shares of our common stock are sold pursuant to this prospectus. The as adjusted information assumes that all of our common stock in the aggregate amount of $14,658,742 million is sold at the assumed offering price of $5.58 per share, the last reported sale price of our common stock on the Nasdaq Capital Market on July 17, 2024. The shares sold in this offering, if any, will be sold from time to time at various prices.</w:t>
      </w:r>
    </w:p>
    <w:p>
      <w:pPr>
        <w:spacing w:after="0" w:line="212" w:lineRule="exact"/>
        <w:rPr>
          <w:sz w:val="20"/>
          <w:szCs w:val="20"/>
          <w:color w:val="auto"/>
        </w:rPr>
      </w:pPr>
    </w:p>
    <w:tbl>
      <w:tblPr>
        <w:tblLayout w:type="fixed"/>
        <w:tblInd w:w="840" w:type="dxa"/>
        <w:tblCellMar>
          <w:top w:w="0" w:type="dxa"/>
          <w:left w:w="0" w:type="dxa"/>
          <w:bottom w:w="0" w:type="dxa"/>
          <w:right w:w="0" w:type="dxa"/>
        </w:tblCellMar>
      </w:tblPr>
      <w:tr>
        <w:trPr>
          <w:trHeight w:val="283"/>
        </w:trPr>
        <w:tc>
          <w:tcPr>
            <w:tcW w:w="20" w:type="dxa"/>
            <w:vAlign w:val="bottom"/>
          </w:tcPr>
          <w:p>
            <w:pPr>
              <w:spacing w:after="0"/>
              <w:rPr>
                <w:sz w:val="24"/>
                <w:szCs w:val="24"/>
                <w:color w:val="auto"/>
              </w:rPr>
            </w:pPr>
          </w:p>
        </w:tc>
        <w:tc>
          <w:tcPr>
            <w:tcW w:w="7720" w:type="dxa"/>
            <w:vAlign w:val="bottom"/>
            <w:shd w:val="clear" w:color="auto" w:fill="D1FCFC"/>
          </w:tcPr>
          <w:p>
            <w:pPr>
              <w:spacing w:after="0"/>
              <w:rPr>
                <w:sz w:val="20"/>
                <w:szCs w:val="20"/>
                <w:color w:val="auto"/>
              </w:rPr>
            </w:pPr>
            <w:r>
              <w:rPr>
                <w:rFonts w:ascii="Times New Roman" w:cs="Times New Roman" w:eastAsia="Times New Roman" w:hAnsi="Times New Roman"/>
                <w:sz w:val="20"/>
                <w:szCs w:val="20"/>
                <w:color w:val="auto"/>
              </w:rPr>
              <w:t>Assumed public offering price per share</w:t>
            </w:r>
          </w:p>
        </w:tc>
        <w:tc>
          <w:tcPr>
            <w:tcW w:w="1740" w:type="dxa"/>
            <w:vAlign w:val="bottom"/>
            <w:gridSpan w:val="3"/>
            <w:shd w:val="clear" w:color="auto" w:fill="D1FCFC"/>
          </w:tcPr>
          <w:p>
            <w:pPr>
              <w:jc w:val="right"/>
              <w:spacing w:after="0"/>
              <w:rPr>
                <w:sz w:val="20"/>
                <w:szCs w:val="20"/>
                <w:color w:val="auto"/>
              </w:rPr>
            </w:pPr>
            <w:r>
              <w:rPr>
                <w:rFonts w:ascii="Times New Roman" w:cs="Times New Roman" w:eastAsia="Times New Roman" w:hAnsi="Times New Roman"/>
                <w:sz w:val="20"/>
                <w:szCs w:val="20"/>
                <w:color w:val="auto"/>
              </w:rPr>
              <w:t>$5.58</w:t>
            </w:r>
          </w:p>
        </w:tc>
        <w:tc>
          <w:tcPr>
            <w:tcW w:w="80" w:type="dxa"/>
            <w:vAlign w:val="bottom"/>
            <w:shd w:val="clear" w:color="auto" w:fill="D1FCFC"/>
          </w:tcPr>
          <w:p>
            <w:pPr>
              <w:spacing w:after="0"/>
              <w:rPr>
                <w:sz w:val="24"/>
                <w:szCs w:val="24"/>
                <w:color w:val="auto"/>
              </w:rPr>
            </w:pPr>
          </w:p>
        </w:tc>
      </w:tr>
      <w:tr>
        <w:trPr>
          <w:trHeight w:val="273"/>
        </w:trPr>
        <w:tc>
          <w:tcPr>
            <w:tcW w:w="20" w:type="dxa"/>
            <w:vAlign w:val="bottom"/>
          </w:tcPr>
          <w:p>
            <w:pPr>
              <w:spacing w:after="0"/>
              <w:rPr>
                <w:sz w:val="23"/>
                <w:szCs w:val="23"/>
                <w:color w:val="auto"/>
              </w:rPr>
            </w:pPr>
          </w:p>
        </w:tc>
        <w:tc>
          <w:tcPr>
            <w:tcW w:w="77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Net tangible book value per share as of March 31, 2024</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$(6.85)</w:t>
            </w: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80"/>
        </w:trPr>
        <w:tc>
          <w:tcPr>
            <w:tcW w:w="20" w:type="dxa"/>
            <w:vAlign w:val="bottom"/>
          </w:tcPr>
          <w:p>
            <w:pPr>
              <w:spacing w:after="0"/>
              <w:rPr>
                <w:sz w:val="24"/>
                <w:szCs w:val="24"/>
                <w:color w:val="auto"/>
              </w:rPr>
            </w:pPr>
          </w:p>
        </w:tc>
        <w:tc>
          <w:tcPr>
            <w:tcW w:w="7720" w:type="dxa"/>
            <w:vAlign w:val="bottom"/>
            <w:shd w:val="clear" w:color="auto" w:fill="D1FCFC"/>
          </w:tcPr>
          <w:p>
            <w:pPr>
              <w:ind w:left="400"/>
              <w:spacing w:after="0"/>
              <w:rPr>
                <w:sz w:val="20"/>
                <w:szCs w:val="20"/>
                <w:color w:val="auto"/>
              </w:rPr>
            </w:pPr>
            <w:r>
              <w:rPr>
                <w:rFonts w:ascii="Times New Roman" w:cs="Times New Roman" w:eastAsia="Times New Roman" w:hAnsi="Times New Roman"/>
                <w:sz w:val="20"/>
                <w:szCs w:val="20"/>
                <w:color w:val="auto"/>
              </w:rPr>
              <w:t>Increase in net tangible book value per share attributable to the offering</w:t>
            </w:r>
          </w:p>
        </w:tc>
        <w:tc>
          <w:tcPr>
            <w:tcW w:w="740" w:type="dxa"/>
            <w:vAlign w:val="bottom"/>
            <w:tcBorders>
              <w:bottom w:val="single" w:sz="8" w:color="auto"/>
            </w:tcBorders>
            <w:shd w:val="clear" w:color="auto" w:fill="D1FCFC"/>
          </w:tcPr>
          <w:p>
            <w:pPr>
              <w:jc w:val="right"/>
              <w:spacing w:after="0"/>
              <w:rPr>
                <w:sz w:val="20"/>
                <w:szCs w:val="20"/>
                <w:color w:val="auto"/>
              </w:rPr>
            </w:pPr>
            <w:r>
              <w:rPr>
                <w:rFonts w:ascii="Times New Roman" w:cs="Times New Roman" w:eastAsia="Times New Roman" w:hAnsi="Times New Roman"/>
                <w:sz w:val="20"/>
                <w:szCs w:val="20"/>
                <w:color w:val="auto"/>
              </w:rPr>
              <w:t>$3.93</w:t>
            </w:r>
          </w:p>
        </w:tc>
        <w:tc>
          <w:tcPr>
            <w:tcW w:w="240" w:type="dxa"/>
            <w:vAlign w:val="bottom"/>
            <w:shd w:val="clear" w:color="auto" w:fill="D1FCFC"/>
          </w:tcPr>
          <w:p>
            <w:pPr>
              <w:spacing w:after="0"/>
              <w:rPr>
                <w:sz w:val="24"/>
                <w:szCs w:val="24"/>
                <w:color w:val="auto"/>
              </w:rPr>
            </w:pPr>
          </w:p>
        </w:tc>
        <w:tc>
          <w:tcPr>
            <w:tcW w:w="760" w:type="dxa"/>
            <w:vAlign w:val="bottom"/>
            <w:shd w:val="clear" w:color="auto" w:fill="D1FCFC"/>
          </w:tcPr>
          <w:p>
            <w:pPr>
              <w:spacing w:after="0"/>
              <w:rPr>
                <w:sz w:val="24"/>
                <w:szCs w:val="24"/>
                <w:color w:val="auto"/>
              </w:rPr>
            </w:pPr>
          </w:p>
        </w:tc>
        <w:tc>
          <w:tcPr>
            <w:tcW w:w="80" w:type="dxa"/>
            <w:vAlign w:val="bottom"/>
            <w:shd w:val="clear" w:color="auto" w:fill="D1FCFC"/>
          </w:tcPr>
          <w:p>
            <w:pPr>
              <w:spacing w:after="0"/>
              <w:rPr>
                <w:sz w:val="24"/>
                <w:szCs w:val="24"/>
                <w:color w:val="auto"/>
              </w:rPr>
            </w:pPr>
          </w:p>
        </w:tc>
      </w:tr>
      <w:tr>
        <w:trPr>
          <w:trHeight w:val="375"/>
        </w:trPr>
        <w:tc>
          <w:tcPr>
            <w:tcW w:w="7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 adjusted net tangible book value per share after giving effect to the offering</w:t>
            </w:r>
          </w:p>
        </w:tc>
        <w:tc>
          <w:tcPr>
            <w:tcW w:w="980" w:type="dxa"/>
            <w:vAlign w:val="bottom"/>
            <w:gridSpan w:val="2"/>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$(2.92)</w:t>
            </w:r>
          </w:p>
        </w:tc>
        <w:tc>
          <w:tcPr>
            <w:tcW w:w="80" w:type="dxa"/>
            <w:vAlign w:val="bottom"/>
          </w:tcPr>
          <w:p>
            <w:pPr>
              <w:spacing w:after="0"/>
              <w:rPr>
                <w:sz w:val="24"/>
                <w:szCs w:val="24"/>
                <w:color w:val="auto"/>
              </w:rPr>
            </w:pPr>
          </w:p>
        </w:tc>
      </w:tr>
      <w:tr>
        <w:trPr>
          <w:trHeight w:val="280"/>
        </w:trPr>
        <w:tc>
          <w:tcPr>
            <w:tcW w:w="20" w:type="dxa"/>
            <w:vAlign w:val="bottom"/>
          </w:tcPr>
          <w:p>
            <w:pPr>
              <w:spacing w:after="0"/>
              <w:rPr>
                <w:sz w:val="24"/>
                <w:szCs w:val="24"/>
                <w:color w:val="auto"/>
              </w:rPr>
            </w:pPr>
          </w:p>
        </w:tc>
        <w:tc>
          <w:tcPr>
            <w:tcW w:w="7720" w:type="dxa"/>
            <w:vAlign w:val="bottom"/>
            <w:shd w:val="clear" w:color="auto" w:fill="D1FCFC"/>
          </w:tcPr>
          <w:p>
            <w:pPr>
              <w:spacing w:after="0"/>
              <w:rPr>
                <w:sz w:val="20"/>
                <w:szCs w:val="20"/>
                <w:color w:val="auto"/>
              </w:rPr>
            </w:pPr>
            <w:r>
              <w:rPr>
                <w:rFonts w:ascii="Times New Roman" w:cs="Times New Roman" w:eastAsia="Times New Roman" w:hAnsi="Times New Roman"/>
                <w:sz w:val="20"/>
                <w:szCs w:val="20"/>
                <w:color w:val="auto"/>
              </w:rPr>
              <w:t>Dilution per share to new investors participating in the offering</w:t>
            </w:r>
          </w:p>
        </w:tc>
        <w:tc>
          <w:tcPr>
            <w:tcW w:w="1740" w:type="dxa"/>
            <w:vAlign w:val="bottom"/>
            <w:gridSpan w:val="3"/>
            <w:shd w:val="clear" w:color="auto" w:fill="D1FCFC"/>
          </w:tcPr>
          <w:p>
            <w:pPr>
              <w:jc w:val="right"/>
              <w:spacing w:after="0"/>
              <w:rPr>
                <w:sz w:val="20"/>
                <w:szCs w:val="20"/>
                <w:color w:val="auto"/>
              </w:rPr>
            </w:pPr>
            <w:r>
              <w:rPr>
                <w:rFonts w:ascii="Times New Roman" w:cs="Times New Roman" w:eastAsia="Times New Roman" w:hAnsi="Times New Roman"/>
                <w:sz w:val="20"/>
                <w:szCs w:val="20"/>
                <w:color w:val="auto"/>
              </w:rPr>
              <w:t>$8.50</w:t>
            </w:r>
          </w:p>
        </w:tc>
        <w:tc>
          <w:tcPr>
            <w:tcW w:w="80" w:type="dxa"/>
            <w:vAlign w:val="bottom"/>
            <w:shd w:val="clear" w:color="auto" w:fill="D1FCFC"/>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1" w:lineRule="exact"/>
        <w:rPr>
          <w:sz w:val="20"/>
          <w:szCs w:val="20"/>
          <w:color w:val="auto"/>
        </w:rPr>
      </w:pPr>
    </w:p>
    <w:p>
      <w:pPr>
        <w:ind w:left="420" w:right="100"/>
        <w:spacing w:after="0" w:line="276" w:lineRule="auto"/>
        <w:rPr>
          <w:sz w:val="20"/>
          <w:szCs w:val="20"/>
          <w:color w:val="auto"/>
        </w:rPr>
      </w:pPr>
      <w:r>
        <w:rPr>
          <w:rFonts w:ascii="Times New Roman" w:cs="Times New Roman" w:eastAsia="Times New Roman" w:hAnsi="Times New Roman"/>
          <w:sz w:val="20"/>
          <w:szCs w:val="20"/>
          <w:color w:val="auto"/>
        </w:rPr>
        <w:t>The above discussion and table are based on 5,512,332 shares of our common stock legally outstanding as of March 31, 2024, and excludes:</w:t>
      </w:r>
    </w:p>
    <w:p>
      <w:pPr>
        <w:spacing w:after="0" w:line="159" w:lineRule="exact"/>
        <w:rPr>
          <w:sz w:val="20"/>
          <w:szCs w:val="20"/>
          <w:color w:val="auto"/>
        </w:rPr>
      </w:pPr>
    </w:p>
    <w:p>
      <w:pPr>
        <w:ind w:left="1240" w:right="380" w:hanging="404"/>
        <w:spacing w:after="0" w:line="276" w:lineRule="auto"/>
        <w:tabs>
          <w:tab w:leader="none" w:pos="12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1,532 shares of our common stock issuable upon the exercise of stock options outstanding as of March 31, 2024, having a weighted average exercise price of $12,556.38 per share;</w:t>
      </w:r>
    </w:p>
    <w:p>
      <w:pPr>
        <w:spacing w:after="0" w:line="7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0"/>
          <w:szCs w:val="20"/>
          <w:color w:val="auto"/>
        </w:rPr>
        <w:t>S-16</w:t>
      </w:r>
    </w:p>
    <w:p>
      <w:pPr>
        <w:sectPr>
          <w:pgSz w:w="11900" w:h="16838" w:orient="portrait"/>
          <w:cols w:equalWidth="0" w:num="1">
            <w:col w:w="10800"/>
          </w:cols>
          <w:pgMar w:left="320" w:top="437" w:right="7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8">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6" w:lineRule="exact"/>
        <w:rPr>
          <w:sz w:val="20"/>
          <w:szCs w:val="20"/>
          <w:color w:val="auto"/>
        </w:rPr>
      </w:pPr>
    </w:p>
    <w:p>
      <w:pPr>
        <w:ind w:left="1240" w:hanging="404"/>
        <w:spacing w:after="0" w:line="276" w:lineRule="auto"/>
        <w:tabs>
          <w:tab w:leader="none" w:pos="12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67,311 shares of our common stock issuable upon the exercise of warrants outstanding as of March 31, 2024, having a weighted average exercise price of $136.83 per share;</w:t>
      </w:r>
    </w:p>
    <w:p>
      <w:pPr>
        <w:spacing w:after="0" w:line="158"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8,295 shares of common stock issuable upon the vesting of restricted stock units outstanding as of March 31, 2024;</w:t>
      </w:r>
    </w:p>
    <w:p>
      <w:pPr>
        <w:spacing w:after="0" w:line="228" w:lineRule="exact"/>
        <w:rPr>
          <w:rFonts w:ascii="Times New Roman" w:cs="Times New Roman" w:eastAsia="Times New Roman" w:hAnsi="Times New Roman"/>
          <w:sz w:val="20"/>
          <w:szCs w:val="20"/>
          <w:color w:val="auto"/>
        </w:rPr>
      </w:pPr>
    </w:p>
    <w:p>
      <w:pPr>
        <w:ind w:left="1240" w:right="440" w:hanging="404"/>
        <w:spacing w:after="0" w:line="276" w:lineRule="auto"/>
        <w:tabs>
          <w:tab w:leader="none" w:pos="12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aggregate of 1,381,261 shares of common stock reserved for future issuance under our equity incentive and employee stock purchase plans as of March 31, 2024;</w:t>
      </w:r>
    </w:p>
    <w:p>
      <w:pPr>
        <w:spacing w:after="0" w:line="44" w:lineRule="exact"/>
        <w:rPr>
          <w:rFonts w:ascii="Times New Roman" w:cs="Times New Roman" w:eastAsia="Times New Roman" w:hAnsi="Times New Roman"/>
          <w:sz w:val="20"/>
          <w:szCs w:val="20"/>
          <w:color w:val="auto"/>
        </w:rPr>
      </w:pPr>
    </w:p>
    <w:p>
      <w:pPr>
        <w:ind w:left="1240" w:hanging="404"/>
        <w:spacing w:after="0"/>
        <w:tabs>
          <w:tab w:leader="none" w:pos="12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1,700,000 shares of common stock sold in a private placement in May 2024, or the Private Placement;</w:t>
      </w:r>
    </w:p>
    <w:p>
      <w:pPr>
        <w:spacing w:after="0" w:line="113" w:lineRule="exact"/>
        <w:rPr>
          <w:rFonts w:ascii="Times New Roman" w:cs="Times New Roman" w:eastAsia="Times New Roman" w:hAnsi="Times New Roman"/>
          <w:sz w:val="20"/>
          <w:szCs w:val="20"/>
          <w:color w:val="auto"/>
        </w:rPr>
      </w:pPr>
    </w:p>
    <w:p>
      <w:pPr>
        <w:ind w:left="1240" w:right="520" w:hanging="404"/>
        <w:spacing w:after="0" w:line="276" w:lineRule="auto"/>
        <w:tabs>
          <w:tab w:leader="none" w:pos="12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Warrants to purchase 325,317 shares of common stock sold in the Private Placement, with an exercise price of $0.001 per share;</w:t>
      </w:r>
    </w:p>
    <w:p>
      <w:pPr>
        <w:spacing w:after="0" w:line="44" w:lineRule="exact"/>
        <w:rPr>
          <w:rFonts w:ascii="Times New Roman" w:cs="Times New Roman" w:eastAsia="Times New Roman" w:hAnsi="Times New Roman"/>
          <w:sz w:val="20"/>
          <w:szCs w:val="20"/>
          <w:color w:val="auto"/>
        </w:rPr>
      </w:pPr>
    </w:p>
    <w:p>
      <w:pPr>
        <w:ind w:left="1240" w:right="360" w:hanging="404"/>
        <w:spacing w:after="0" w:line="276" w:lineRule="auto"/>
        <w:tabs>
          <w:tab w:leader="none" w:pos="12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Warrants to purchase 4,050,634 shares of common stock sold in the Private Placement, with an exercise price of $3.70 per share;</w:t>
      </w:r>
    </w:p>
    <w:p>
      <w:pPr>
        <w:spacing w:after="0" w:line="44" w:lineRule="exact"/>
        <w:rPr>
          <w:rFonts w:ascii="Times New Roman" w:cs="Times New Roman" w:eastAsia="Times New Roman" w:hAnsi="Times New Roman"/>
          <w:sz w:val="20"/>
          <w:szCs w:val="20"/>
          <w:color w:val="auto"/>
        </w:rPr>
      </w:pPr>
    </w:p>
    <w:p>
      <w:pPr>
        <w:ind w:left="1240" w:right="380" w:hanging="404"/>
        <w:spacing w:after="0" w:line="276" w:lineRule="auto"/>
        <w:tabs>
          <w:tab w:leader="none" w:pos="12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Warrants to purchase 141,772 shares of common stock issued in connection with the Private Placement, with an exercise price of $4.9375 per share; and</w:t>
      </w:r>
    </w:p>
    <w:p>
      <w:pPr>
        <w:spacing w:after="0" w:line="44" w:lineRule="exact"/>
        <w:rPr>
          <w:rFonts w:ascii="Times New Roman" w:cs="Times New Roman" w:eastAsia="Times New Roman" w:hAnsi="Times New Roman"/>
          <w:sz w:val="20"/>
          <w:szCs w:val="20"/>
          <w:color w:val="auto"/>
        </w:rPr>
      </w:pPr>
    </w:p>
    <w:p>
      <w:pPr>
        <w:ind w:left="1240" w:right="400" w:hanging="404"/>
        <w:spacing w:after="0" w:line="276" w:lineRule="auto"/>
        <w:tabs>
          <w:tab w:leader="none" w:pos="12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aggregate of 9,853,753 shares of common stock that were issued in connection with (i) the conversion of outstanding preferred stock and the (ii) cancellation of outstanding indebtedness subsequent to March 31, 2024.</w:t>
      </w:r>
    </w:p>
    <w:p>
      <w:pPr>
        <w:spacing w:after="0" w:line="70"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20"/>
          <w:szCs w:val="20"/>
          <w:color w:val="auto"/>
        </w:rPr>
        <w:t>S-17</w:t>
      </w:r>
    </w:p>
    <w:p>
      <w:pPr>
        <w:sectPr>
          <w:pgSz w:w="11900" w:h="16838" w:orient="portrait"/>
          <w:cols w:equalWidth="0" w:num="1">
            <w:col w:w="10740"/>
          </w:cols>
          <w:pgMar w:left="320" w:top="437" w:right="8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9">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b w:val="1"/>
          <w:bCs w:val="1"/>
          <w:color w:val="auto"/>
        </w:rPr>
        <w:t>PLAN OF DISTRIBUTION</w:t>
      </w:r>
    </w:p>
    <w:p>
      <w:pPr>
        <w:spacing w:after="0" w:line="207" w:lineRule="exact"/>
        <w:rPr>
          <w:sz w:val="20"/>
          <w:szCs w:val="20"/>
          <w:color w:val="auto"/>
        </w:rPr>
      </w:pPr>
    </w:p>
    <w:p>
      <w:pPr>
        <w:ind w:left="420" w:right="300"/>
        <w:spacing w:after="0" w:line="257" w:lineRule="auto"/>
        <w:rPr>
          <w:sz w:val="20"/>
          <w:szCs w:val="20"/>
          <w:color w:val="auto"/>
        </w:rPr>
      </w:pPr>
      <w:r>
        <w:rPr>
          <w:rFonts w:ascii="Times New Roman" w:cs="Times New Roman" w:eastAsia="Times New Roman" w:hAnsi="Times New Roman"/>
          <w:sz w:val="20"/>
          <w:szCs w:val="20"/>
          <w:color w:val="auto"/>
        </w:rPr>
        <w:t>We have entered into the ATM Agreement with HCW under which we may issue and sell shares of our common stock from time to time having an aggregate gross sales price of up to the amount set forth on the cover page of this prospectus, as supplemented from time to time, through or to HCW acting as sales agent or principal.</w:t>
      </w:r>
    </w:p>
    <w:p>
      <w:pPr>
        <w:spacing w:after="0" w:line="153" w:lineRule="exact"/>
        <w:rPr>
          <w:sz w:val="20"/>
          <w:szCs w:val="20"/>
          <w:color w:val="auto"/>
        </w:rPr>
      </w:pPr>
    </w:p>
    <w:p>
      <w:pPr>
        <w:ind w:left="420" w:right="140"/>
        <w:spacing w:after="0" w:line="244" w:lineRule="auto"/>
        <w:rPr>
          <w:sz w:val="20"/>
          <w:szCs w:val="20"/>
          <w:color w:val="auto"/>
        </w:rPr>
      </w:pPr>
      <w:r>
        <w:rPr>
          <w:rFonts w:ascii="Times New Roman" w:cs="Times New Roman" w:eastAsia="Times New Roman" w:hAnsi="Times New Roman"/>
          <w:sz w:val="20"/>
          <w:szCs w:val="20"/>
          <w:color w:val="auto"/>
        </w:rPr>
        <w:t>Upon delivery of a placement notice and subject to the terms and conditions of the ATM Agreement, HCW may offer and sell our common stock by any method permitted by law deemed to be an “at-the-market” offering as defined in Rule 415(a)(4) promulgated under the Securities Act, including sales made directly on or through the Nasdaq Capital Market, any other existing trading market of our common stock, sales made to or through a market maker other than on an exchange or otherwise, directly to HCW as principal, in negotiated transactions at market prices prevailing at the time of sale or at prices related to such prevailing market prices, and/or in any other method permitted by law. We may instruct HCW not to sell common stock if the sales cannot be effected at or above the price designated by us from time to time. We or HCW may suspend the offering of common stock upon notice and subject to other conditions.</w:t>
      </w:r>
    </w:p>
    <w:p>
      <w:pPr>
        <w:spacing w:after="0" w:line="167" w:lineRule="exact"/>
        <w:rPr>
          <w:sz w:val="20"/>
          <w:szCs w:val="20"/>
          <w:color w:val="auto"/>
        </w:rPr>
      </w:pPr>
    </w:p>
    <w:p>
      <w:pPr>
        <w:ind w:left="420" w:right="100"/>
        <w:spacing w:after="0" w:line="245" w:lineRule="auto"/>
        <w:rPr>
          <w:sz w:val="20"/>
          <w:szCs w:val="20"/>
          <w:color w:val="auto"/>
        </w:rPr>
      </w:pPr>
      <w:r>
        <w:rPr>
          <w:rFonts w:ascii="Times New Roman" w:cs="Times New Roman" w:eastAsia="Times New Roman" w:hAnsi="Times New Roman"/>
          <w:sz w:val="20"/>
          <w:szCs w:val="20"/>
          <w:color w:val="auto"/>
        </w:rPr>
        <w:t>We will pay HCW commissions, in cash, for its services in acting as agent in the sale of our common stock. HCW will be entitled to compensation at a commission rate of up to 3.0% of the gross sales price per share sold pursuant to the ATM Agreement. Because there is no minimum offering amount required as a condition of this offering, the actual total public offering amount, commissions and proceeds to us, if any, are not determinable at this time. We have also agreed to reimburse HCW for certain specified expenses in an amount up to $100,000, in addition to up to $2,500 per due diligence update session for HCW’s counsel’s fees. We estimate that the total expenses for the offering, excluding compensation and reimbursements payable to HCW under the terms of the ATM Agreement, will be approximately $0.2 million.</w:t>
      </w:r>
    </w:p>
    <w:p>
      <w:pPr>
        <w:spacing w:after="0" w:line="165" w:lineRule="exact"/>
        <w:rPr>
          <w:sz w:val="20"/>
          <w:szCs w:val="20"/>
          <w:color w:val="auto"/>
        </w:rPr>
      </w:pPr>
    </w:p>
    <w:p>
      <w:pPr>
        <w:ind w:left="420"/>
        <w:spacing w:after="0" w:line="246" w:lineRule="auto"/>
        <w:rPr>
          <w:sz w:val="20"/>
          <w:szCs w:val="20"/>
          <w:color w:val="auto"/>
        </w:rPr>
      </w:pPr>
      <w:r>
        <w:rPr>
          <w:rFonts w:ascii="Times New Roman" w:cs="Times New Roman" w:eastAsia="Times New Roman" w:hAnsi="Times New Roman"/>
          <w:sz w:val="20"/>
          <w:szCs w:val="20"/>
          <w:color w:val="auto"/>
        </w:rPr>
        <w:t>Settlement for sales of common stock will generally occur on the first trading day following the date on which any sales are made (or any such shorter settlement cycle as may be in effect under Exchange Act Rule 15c6-1 from time to time), or on some other date that is agreed upon by us and HCW in connection with a particular transaction, in return for payment of the net proceeds to us. Sales of our common stock as contemplated in this prospectus will be settled through the facilities of The Depository Trust Company or by such other means as we and HCW may agree upon. There is no arrangement for funds to be received in an escrow, trust or similar arrangement.</w:t>
      </w:r>
    </w:p>
    <w:p>
      <w:pPr>
        <w:spacing w:after="0" w:line="165" w:lineRule="exact"/>
        <w:rPr>
          <w:sz w:val="20"/>
          <w:szCs w:val="20"/>
          <w:color w:val="auto"/>
        </w:rPr>
      </w:pPr>
    </w:p>
    <w:p>
      <w:pPr>
        <w:ind w:left="420" w:right="100"/>
        <w:spacing w:after="0" w:line="251" w:lineRule="auto"/>
        <w:rPr>
          <w:sz w:val="20"/>
          <w:szCs w:val="20"/>
          <w:color w:val="auto"/>
        </w:rPr>
      </w:pPr>
      <w:r>
        <w:rPr>
          <w:rFonts w:ascii="Times New Roman" w:cs="Times New Roman" w:eastAsia="Times New Roman" w:hAnsi="Times New Roman"/>
          <w:sz w:val="20"/>
          <w:szCs w:val="20"/>
          <w:color w:val="auto"/>
        </w:rPr>
        <w:t>HCW will use its commercially reasonable efforts, consistent with its sales and trading practices, to solicit offers to purchase shares of our common stock under the terms and subject to the conditions set forth in the ATM Agreement. In connection with the sale of the common stock on our behalf, HCW will be deemed to be an “underwriter” within the meaning of the Securities Act and the compensation of HCW will be deemed to be underwriting commissions</w:t>
      </w:r>
    </w:p>
    <w:p>
      <w:pPr>
        <w:spacing w:after="0" w:line="9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S-18</w:t>
      </w:r>
    </w:p>
    <w:p>
      <w:pPr>
        <w:sectPr>
          <w:pgSz w:w="11900" w:h="16838" w:orient="portrait"/>
          <w:cols w:equalWidth="0" w:num="1">
            <w:col w:w="10820"/>
          </w:cols>
          <w:pgMar w:left="320" w:top="437" w:right="7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0">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6" w:lineRule="exact"/>
        <w:rPr>
          <w:sz w:val="20"/>
          <w:szCs w:val="20"/>
          <w:color w:val="auto"/>
        </w:rPr>
      </w:pPr>
    </w:p>
    <w:p>
      <w:pPr>
        <w:ind w:left="420" w:right="260"/>
        <w:spacing w:after="0" w:line="276" w:lineRule="auto"/>
        <w:rPr>
          <w:sz w:val="20"/>
          <w:szCs w:val="20"/>
          <w:color w:val="auto"/>
        </w:rPr>
      </w:pPr>
      <w:r>
        <w:rPr>
          <w:rFonts w:ascii="Times New Roman" w:cs="Times New Roman" w:eastAsia="Times New Roman" w:hAnsi="Times New Roman"/>
          <w:sz w:val="20"/>
          <w:szCs w:val="20"/>
          <w:color w:val="auto"/>
        </w:rPr>
        <w:t>or discounts. We have agreed to provide indemnification and contribution to HCW against certain civil liabilities, including liabilities under the Securities Act.</w:t>
      </w:r>
    </w:p>
    <w:p>
      <w:pPr>
        <w:spacing w:after="0" w:line="133" w:lineRule="exact"/>
        <w:rPr>
          <w:sz w:val="20"/>
          <w:szCs w:val="20"/>
          <w:color w:val="auto"/>
        </w:rPr>
      </w:pPr>
    </w:p>
    <w:p>
      <w:pPr>
        <w:ind w:left="420"/>
        <w:spacing w:after="0" w:line="257" w:lineRule="auto"/>
        <w:rPr>
          <w:sz w:val="20"/>
          <w:szCs w:val="20"/>
          <w:color w:val="auto"/>
        </w:rPr>
      </w:pPr>
      <w:r>
        <w:rPr>
          <w:rFonts w:ascii="Times New Roman" w:cs="Times New Roman" w:eastAsia="Times New Roman" w:hAnsi="Times New Roman"/>
          <w:sz w:val="20"/>
          <w:szCs w:val="20"/>
          <w:color w:val="auto"/>
        </w:rPr>
        <w:t>The offering of our common stock pursuant to the ATM Agreement will terminate upon termination of the ATM Agreement or as otherwise permitted therein. We and HCW may each terminate the ATM Agreement at any time upon five business days’ prior written notice.</w:t>
      </w:r>
    </w:p>
    <w:p>
      <w:pPr>
        <w:spacing w:after="0" w:line="153" w:lineRule="exact"/>
        <w:rPr>
          <w:sz w:val="20"/>
          <w:szCs w:val="20"/>
          <w:color w:val="auto"/>
        </w:rPr>
      </w:pPr>
    </w:p>
    <w:p>
      <w:pPr>
        <w:ind w:left="420" w:right="80"/>
        <w:spacing w:after="0" w:line="248" w:lineRule="auto"/>
        <w:rPr>
          <w:sz w:val="20"/>
          <w:szCs w:val="20"/>
          <w:color w:val="auto"/>
        </w:rPr>
      </w:pPr>
      <w:r>
        <w:rPr>
          <w:rFonts w:ascii="Times New Roman" w:cs="Times New Roman" w:eastAsia="Times New Roman" w:hAnsi="Times New Roman"/>
          <w:sz w:val="20"/>
          <w:szCs w:val="20"/>
          <w:color w:val="auto"/>
        </w:rPr>
        <w:t>To the extent required by Regulation M, HCW will not engage in any market making activities involving our common stock while the offering is ongoing under this prospectus. HCW and its affiliates have in the past and may in the future provide various investment banking, commercial banking and other financial services for us and our affiliates, for which services they may in the future receive customary fees. HCW acted as our placement agent in connection with our private offering that was consummated in May 2024, for which it received compensation.</w:t>
      </w:r>
    </w:p>
    <w:p>
      <w:pPr>
        <w:spacing w:after="0" w:line="162" w:lineRule="exact"/>
        <w:rPr>
          <w:sz w:val="20"/>
          <w:szCs w:val="20"/>
          <w:color w:val="auto"/>
        </w:rPr>
      </w:pPr>
    </w:p>
    <w:p>
      <w:pPr>
        <w:ind w:left="420" w:right="20"/>
        <w:spacing w:after="0" w:line="257" w:lineRule="auto"/>
        <w:rPr>
          <w:sz w:val="20"/>
          <w:szCs w:val="20"/>
          <w:color w:val="auto"/>
        </w:rPr>
      </w:pPr>
      <w:r>
        <w:rPr>
          <w:rFonts w:ascii="Times New Roman" w:cs="Times New Roman" w:eastAsia="Times New Roman" w:hAnsi="Times New Roman"/>
          <w:sz w:val="20"/>
          <w:szCs w:val="20"/>
          <w:color w:val="auto"/>
        </w:rPr>
        <w:t>This summary of the material provisions of the ATM Agreement does not purport to be a complete statement of its terms and conditions. A copy of the ATM Agreement is filed with the SEC and is incorporated by reference into the registration statement of which this prospectus is a part. See “</w:t>
      </w:r>
      <w:r>
        <w:rPr>
          <w:rFonts w:ascii="Times New Roman" w:cs="Times New Roman" w:eastAsia="Times New Roman" w:hAnsi="Times New Roman"/>
          <w:sz w:val="20"/>
          <w:szCs w:val="20"/>
          <w:i w:val="1"/>
          <w:iCs w:val="1"/>
          <w:color w:val="auto"/>
        </w:rPr>
        <w:t>Where You Can Find More Information; Incorporation by Reference</w:t>
      </w:r>
      <w:r>
        <w:rPr>
          <w:rFonts w:ascii="Times New Roman" w:cs="Times New Roman" w:eastAsia="Times New Roman" w:hAnsi="Times New Roman"/>
          <w:sz w:val="20"/>
          <w:szCs w:val="20"/>
          <w:color w:val="auto"/>
        </w:rPr>
        <w:t>” above.</w:t>
      </w:r>
    </w:p>
    <w:p>
      <w:pPr>
        <w:spacing w:after="0" w:line="153" w:lineRule="exact"/>
        <w:rPr>
          <w:sz w:val="20"/>
          <w:szCs w:val="20"/>
          <w:color w:val="auto"/>
        </w:rPr>
      </w:pPr>
    </w:p>
    <w:p>
      <w:pPr>
        <w:ind w:left="420" w:right="220"/>
        <w:spacing w:after="0" w:line="276" w:lineRule="auto"/>
        <w:rPr>
          <w:sz w:val="20"/>
          <w:szCs w:val="20"/>
          <w:color w:val="auto"/>
        </w:rPr>
      </w:pPr>
      <w:r>
        <w:rPr>
          <w:rFonts w:ascii="Times New Roman" w:cs="Times New Roman" w:eastAsia="Times New Roman" w:hAnsi="Times New Roman"/>
          <w:sz w:val="20"/>
          <w:szCs w:val="20"/>
          <w:color w:val="auto"/>
        </w:rPr>
        <w:t>This prospectus in electronic format may be made available on a website maintained by HCW and HCW may distribute this prospectus electronically.</w:t>
      </w:r>
    </w:p>
    <w:p>
      <w:pPr>
        <w:spacing w:after="0" w:line="70"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20"/>
          <w:szCs w:val="20"/>
          <w:color w:val="auto"/>
        </w:rPr>
        <w:t>S-19</w:t>
      </w:r>
    </w:p>
    <w:p>
      <w:pPr>
        <w:sectPr>
          <w:pgSz w:w="11900" w:h="16838" w:orient="portrait"/>
          <w:cols w:equalWidth="0" w:num="1">
            <w:col w:w="10760"/>
          </w:cols>
          <w:pgMar w:left="320" w:top="437" w:right="8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1">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0"/>
          <w:szCs w:val="20"/>
          <w:b w:val="1"/>
          <w:bCs w:val="1"/>
          <w:color w:val="auto"/>
        </w:rPr>
        <w:t>LEGAL MATTERS</w:t>
      </w:r>
    </w:p>
    <w:p>
      <w:pPr>
        <w:spacing w:after="0" w:line="207" w:lineRule="exact"/>
        <w:rPr>
          <w:sz w:val="20"/>
          <w:szCs w:val="20"/>
          <w:color w:val="auto"/>
        </w:rPr>
      </w:pPr>
    </w:p>
    <w:p>
      <w:pPr>
        <w:ind w:left="420"/>
        <w:spacing w:after="0" w:line="257" w:lineRule="auto"/>
        <w:rPr>
          <w:sz w:val="20"/>
          <w:szCs w:val="20"/>
          <w:color w:val="auto"/>
        </w:rPr>
      </w:pPr>
      <w:r>
        <w:rPr>
          <w:rFonts w:ascii="Times New Roman" w:cs="Times New Roman" w:eastAsia="Times New Roman" w:hAnsi="Times New Roman"/>
          <w:sz w:val="20"/>
          <w:szCs w:val="20"/>
          <w:color w:val="auto"/>
        </w:rPr>
        <w:t>Latham &amp; Watkins LLP will pass upon certain legal matters relating to the issuance and sale of the securities offered hereby on behalf of T2 Biosystems. Troutman Pepper Hamilton Sanders LLP, Charlotte, North Carolina, is counsel for HCW in connection with this offering.</w:t>
      </w:r>
    </w:p>
    <w:p>
      <w:pPr>
        <w:spacing w:after="0" w:line="35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0"/>
          <w:szCs w:val="20"/>
          <w:b w:val="1"/>
          <w:bCs w:val="1"/>
          <w:color w:val="auto"/>
        </w:rPr>
        <w:t>EXPERTS</w:t>
      </w:r>
    </w:p>
    <w:p>
      <w:pPr>
        <w:spacing w:after="0" w:line="207" w:lineRule="exact"/>
        <w:rPr>
          <w:sz w:val="20"/>
          <w:szCs w:val="20"/>
          <w:color w:val="auto"/>
        </w:rPr>
      </w:pPr>
    </w:p>
    <w:p>
      <w:pPr>
        <w:ind w:left="420" w:right="100"/>
        <w:spacing w:after="0" w:line="248" w:lineRule="auto"/>
        <w:rPr>
          <w:sz w:val="20"/>
          <w:szCs w:val="20"/>
          <w:color w:val="auto"/>
        </w:rPr>
      </w:pPr>
      <w:r>
        <w:rPr>
          <w:rFonts w:ascii="Times New Roman" w:cs="Times New Roman" w:eastAsia="Times New Roman" w:hAnsi="Times New Roman"/>
          <w:sz w:val="20"/>
          <w:szCs w:val="20"/>
          <w:color w:val="auto"/>
        </w:rPr>
        <w:t>The consolidated financial statements as of December 31, 2023 and 2022 and for each of the two years in the period ended December 31, 2023 incorporated by reference in this prospectus and in the registration statement have been so incorporated in reliance on the report of BDO USA, LLP, an independent registered public accounting firm, incorporated herein by reference, given on the authority of said firm as experts in auditing and accounting. The report on the consolidated financial statements contains an explanatory paragraph regarding the Company’s ability to continue as a going concern.</w:t>
      </w:r>
    </w:p>
    <w:p>
      <w:pPr>
        <w:spacing w:after="0" w:line="9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0"/>
          <w:szCs w:val="20"/>
          <w:color w:val="auto"/>
        </w:rPr>
        <w:t>S-20</w:t>
      </w:r>
    </w:p>
    <w:p>
      <w:pPr>
        <w:sectPr>
          <w:pgSz w:w="11900" w:h="16838" w:orient="portrait"/>
          <w:cols w:equalWidth="0" w:num="1">
            <w:col w:w="10800"/>
          </w:cols>
          <w:pgMar w:left="320" w:top="437" w:right="7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2">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b w:val="1"/>
          <w:bCs w:val="1"/>
          <w:color w:val="auto"/>
        </w:rPr>
        <w:t>INFORMATION NOT REQUIRED IN PROSPECTUS</w:t>
      </w:r>
    </w:p>
    <w:p>
      <w:pPr>
        <w:spacing w:after="0" w:line="317" w:lineRule="exact"/>
        <w:rPr>
          <w:sz w:val="20"/>
          <w:szCs w:val="20"/>
          <w:color w:val="auto"/>
        </w:rPr>
      </w:pPr>
    </w:p>
    <w:p>
      <w:pPr>
        <w:ind w:left="420"/>
        <w:spacing w:after="0"/>
        <w:tabs>
          <w:tab w:leader="none" w:pos="1540" w:val="left"/>
        </w:tabs>
        <w:rPr>
          <w:sz w:val="20"/>
          <w:szCs w:val="20"/>
          <w:color w:val="auto"/>
        </w:rPr>
      </w:pPr>
      <w:r>
        <w:rPr>
          <w:rFonts w:ascii="Times New Roman" w:cs="Times New Roman" w:eastAsia="Times New Roman" w:hAnsi="Times New Roman"/>
          <w:sz w:val="20"/>
          <w:szCs w:val="20"/>
          <w:b w:val="1"/>
          <w:bCs w:val="1"/>
          <w:color w:val="auto"/>
        </w:rPr>
        <w:t>Item 14.</w:t>
      </w:r>
      <w:r>
        <w:rPr>
          <w:sz w:val="20"/>
          <w:szCs w:val="20"/>
          <w:color w:val="auto"/>
        </w:rPr>
        <w:tab/>
      </w:r>
      <w:r>
        <w:rPr>
          <w:rFonts w:ascii="Times New Roman" w:cs="Times New Roman" w:eastAsia="Times New Roman" w:hAnsi="Times New Roman"/>
          <w:sz w:val="20"/>
          <w:szCs w:val="20"/>
          <w:b w:val="1"/>
          <w:bCs w:val="1"/>
          <w:color w:val="auto"/>
        </w:rPr>
        <w:t>Other Expenses of Issuance and Distribution</w:t>
      </w:r>
    </w:p>
    <w:p>
      <w:pPr>
        <w:spacing w:after="0" w:line="105" w:lineRule="exact"/>
        <w:rPr>
          <w:sz w:val="20"/>
          <w:szCs w:val="20"/>
          <w:color w:val="auto"/>
        </w:rPr>
      </w:pPr>
    </w:p>
    <w:p>
      <w:pPr>
        <w:ind w:left="420" w:right="400"/>
        <w:spacing w:after="0" w:line="276" w:lineRule="auto"/>
        <w:rPr>
          <w:sz w:val="20"/>
          <w:szCs w:val="20"/>
          <w:color w:val="auto"/>
        </w:rPr>
      </w:pPr>
      <w:r>
        <w:rPr>
          <w:rFonts w:ascii="Times New Roman" w:cs="Times New Roman" w:eastAsia="Times New Roman" w:hAnsi="Times New Roman"/>
          <w:sz w:val="20"/>
          <w:szCs w:val="20"/>
          <w:color w:val="auto"/>
        </w:rPr>
        <w:t>The following is an estimate of the expenses (all of which are to be paid by the registrant) that we may incur in connection with the securities being registered hereby.</w:t>
      </w:r>
    </w:p>
    <w:p>
      <w:pPr>
        <w:spacing w:after="0" w:line="181" w:lineRule="exact"/>
        <w:rPr>
          <w:sz w:val="20"/>
          <w:szCs w:val="20"/>
          <w:color w:val="auto"/>
        </w:rPr>
      </w:pPr>
    </w:p>
    <w:tbl>
      <w:tblPr>
        <w:tblLayout w:type="fixed"/>
        <w:tblInd w:w="42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SEC registration fee</w:t>
            </w:r>
          </w:p>
        </w:tc>
        <w:tc>
          <w:tcPr>
            <w:tcW w:w="3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13,895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20"/>
                <w:szCs w:val="20"/>
                <w:color w:val="auto"/>
              </w:rPr>
              <w:t>FINRA fee</w:t>
            </w:r>
          </w:p>
        </w:tc>
        <w:tc>
          <w:tcPr>
            <w:tcW w:w="32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14,620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Printing expenses</w:t>
            </w:r>
          </w:p>
        </w:tc>
        <w:tc>
          <w:tcPr>
            <w:tcW w:w="3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20"/>
                <w:szCs w:val="20"/>
                <w:color w:val="auto"/>
              </w:rPr>
              <w:t>Legal fees and expenses</w:t>
            </w:r>
          </w:p>
        </w:tc>
        <w:tc>
          <w:tcPr>
            <w:tcW w:w="32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Accounting fees and expenses</w:t>
            </w:r>
          </w:p>
        </w:tc>
        <w:tc>
          <w:tcPr>
            <w:tcW w:w="3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20"/>
                <w:szCs w:val="20"/>
                <w:color w:val="auto"/>
              </w:rPr>
              <w:t>Blue Sky, qualification fees and expenses</w:t>
            </w:r>
          </w:p>
        </w:tc>
        <w:tc>
          <w:tcPr>
            <w:tcW w:w="32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Transfer agent fees and expenses</w:t>
            </w:r>
          </w:p>
        </w:tc>
        <w:tc>
          <w:tcPr>
            <w:tcW w:w="3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20"/>
                <w:szCs w:val="20"/>
                <w:color w:val="auto"/>
              </w:rPr>
              <w:t>Trustee fees and expenses</w:t>
            </w:r>
          </w:p>
        </w:tc>
        <w:tc>
          <w:tcPr>
            <w:tcW w:w="32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Warrant agent fees and expenses</w:t>
            </w:r>
          </w:p>
        </w:tc>
        <w:tc>
          <w:tcPr>
            <w:tcW w:w="3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20"/>
                <w:szCs w:val="20"/>
                <w:color w:val="auto"/>
              </w:rPr>
              <w:t>Miscellaneous</w:t>
            </w:r>
          </w:p>
        </w:tc>
        <w:tc>
          <w:tcPr>
            <w:tcW w:w="32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9"/>
                <w:szCs w:val="9"/>
                <w:color w:val="auto"/>
              </w:rPr>
            </w:pPr>
          </w:p>
        </w:tc>
        <w:tc>
          <w:tcPr>
            <w:tcW w:w="646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Total</w:t>
            </w:r>
          </w:p>
        </w:tc>
        <w:tc>
          <w:tcPr>
            <w:tcW w:w="3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186055</wp:posOffset>
            </wp:positionV>
            <wp:extent cx="659828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a:extLst>
                        <a:ext uri="{28A0092B-C50C-407E-A947-70E740481C1C}"/>
                      </a:extLst>
                    </a:blip>
                    <a:srcRect/>
                    <a:stretch>
                      <a:fillRect/>
                    </a:stretch>
                  </pic:blipFill>
                  <pic:spPr bwMode="auto">
                    <a:xfrm>
                      <a:off x="0" y="0"/>
                      <a:ext cx="6598285" cy="8255"/>
                    </a:xfrm>
                    <a:prstGeom prst="rect">
                      <a:avLst/>
                    </a:prstGeom>
                    <a:noFill/>
                  </pic:spPr>
                </pic:pic>
              </a:graphicData>
            </a:graphic>
          </wp:anchor>
        </w:drawing>
      </w:r>
    </w:p>
    <w:p>
      <w:pPr>
        <w:spacing w:after="0" w:line="286" w:lineRule="exact"/>
        <w:rPr>
          <w:sz w:val="20"/>
          <w:szCs w:val="20"/>
          <w:color w:val="auto"/>
        </w:rPr>
      </w:pPr>
    </w:p>
    <w:p>
      <w:pPr>
        <w:ind w:left="940" w:right="760" w:hanging="512"/>
        <w:spacing w:after="0" w:line="276" w:lineRule="auto"/>
        <w:tabs>
          <w:tab w:leader="none" w:pos="94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These fees are calculated based on the securities offered and the number of issuances and accordingly cannot be estimated at this time.</w:t>
      </w:r>
    </w:p>
    <w:p>
      <w:pPr>
        <w:spacing w:after="0" w:line="2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auto"/>
        </w:rPr>
        <w:t>Item 15. Indemnification of Directors and Officers</w:t>
      </w:r>
    </w:p>
    <w:p>
      <w:pPr>
        <w:spacing w:after="0" w:line="105" w:lineRule="exact"/>
        <w:rPr>
          <w:sz w:val="20"/>
          <w:szCs w:val="20"/>
          <w:color w:val="auto"/>
        </w:rPr>
      </w:pPr>
    </w:p>
    <w:p>
      <w:pPr>
        <w:ind w:left="420" w:right="20"/>
        <w:spacing w:after="0" w:line="243" w:lineRule="auto"/>
        <w:rPr>
          <w:sz w:val="20"/>
          <w:szCs w:val="20"/>
          <w:color w:val="auto"/>
        </w:rPr>
      </w:pPr>
      <w:r>
        <w:rPr>
          <w:rFonts w:ascii="Times New Roman" w:cs="Times New Roman" w:eastAsia="Times New Roman" w:hAnsi="Times New Roman"/>
          <w:sz w:val="20"/>
          <w:szCs w:val="20"/>
          <w:color w:val="auto"/>
        </w:rPr>
        <w:t>Subsection (a) of Section 145 of the General Corporation Law of the State of Delaware, or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71" w:lineRule="exact"/>
        <w:rPr>
          <w:sz w:val="20"/>
          <w:szCs w:val="20"/>
          <w:color w:val="auto"/>
        </w:rPr>
      </w:pPr>
    </w:p>
    <w:p>
      <w:pPr>
        <w:ind w:left="420" w:right="120"/>
        <w:spacing w:after="0" w:line="257" w:lineRule="auto"/>
        <w:rPr>
          <w:sz w:val="20"/>
          <w:szCs w:val="20"/>
          <w:color w:val="auto"/>
        </w:rPr>
      </w:pPr>
      <w:r>
        <w:rPr>
          <w:rFonts w:ascii="Times New Roman" w:cs="Times New Roman" w:eastAsia="Times New Roman" w:hAnsi="Times New Roman"/>
          <w:sz w:val="20"/>
          <w:szCs w:val="20"/>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w:t>
      </w:r>
    </w:p>
    <w:p>
      <w:pPr>
        <w:spacing w:after="0" w:line="8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0"/>
          <w:szCs w:val="20"/>
          <w:color w:val="auto"/>
        </w:rPr>
        <w:t>II-1</w:t>
      </w:r>
    </w:p>
    <w:p>
      <w:pPr>
        <w:sectPr>
          <w:pgSz w:w="11900" w:h="16838" w:orient="portrait"/>
          <w:cols w:equalWidth="0" w:num="1">
            <w:col w:w="10820"/>
          </w:cols>
          <w:pgMar w:left="320" w:top="437" w:right="7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4">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6" w:lineRule="exact"/>
        <w:rPr>
          <w:sz w:val="20"/>
          <w:szCs w:val="20"/>
          <w:color w:val="auto"/>
        </w:rPr>
      </w:pPr>
    </w:p>
    <w:p>
      <w:pPr>
        <w:ind w:left="420"/>
        <w:spacing w:after="0" w:line="244" w:lineRule="auto"/>
        <w:rPr>
          <w:sz w:val="20"/>
          <w:szCs w:val="20"/>
          <w:color w:val="auto"/>
        </w:rPr>
      </w:pPr>
      <w:r>
        <w:rPr>
          <w:rFonts w:ascii="Times New Roman" w:cs="Times New Roman" w:eastAsia="Times New Roman" w:hAnsi="Times New Roman"/>
          <w:sz w:val="20"/>
          <w:szCs w:val="20"/>
          <w:color w:val="auto"/>
        </w:rPr>
        <w:t>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67" w:lineRule="exact"/>
        <w:rPr>
          <w:sz w:val="20"/>
          <w:szCs w:val="20"/>
          <w:color w:val="auto"/>
        </w:rPr>
      </w:pPr>
    </w:p>
    <w:p>
      <w:pPr>
        <w:ind w:left="420" w:right="100"/>
        <w:spacing w:after="0" w:line="242" w:lineRule="auto"/>
        <w:rPr>
          <w:sz w:val="20"/>
          <w:szCs w:val="20"/>
          <w:color w:val="auto"/>
        </w:rPr>
      </w:pPr>
      <w:r>
        <w:rPr>
          <w:rFonts w:ascii="Times New Roman" w:cs="Times New Roman" w:eastAsia="Times New Roman" w:hAnsi="Times New Roman"/>
          <w:sz w:val="20"/>
          <w:szCs w:val="20"/>
          <w:color w:val="auto"/>
        </w:rPr>
        <w:t>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w:t>
      </w:r>
    </w:p>
    <w:p>
      <w:pPr>
        <w:spacing w:after="0" w:line="3" w:lineRule="exact"/>
        <w:rPr>
          <w:sz w:val="20"/>
          <w:szCs w:val="20"/>
          <w:color w:val="auto"/>
        </w:rPr>
      </w:pPr>
    </w:p>
    <w:p>
      <w:pPr>
        <w:ind w:left="420" w:right="200"/>
        <w:spacing w:after="0" w:line="242" w:lineRule="auto"/>
        <w:rPr>
          <w:sz w:val="20"/>
          <w:szCs w:val="20"/>
          <w:color w:val="auto"/>
        </w:rPr>
      </w:pPr>
      <w:r>
        <w:rPr>
          <w:rFonts w:ascii="Times New Roman" w:cs="Times New Roman" w:eastAsia="Times New Roman" w:hAnsi="Times New Roman"/>
          <w:sz w:val="20"/>
          <w:szCs w:val="20"/>
          <w:color w:val="auto"/>
        </w:rPr>
        <w:t>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spacing w:after="0" w:line="168" w:lineRule="exact"/>
        <w:rPr>
          <w:sz w:val="20"/>
          <w:szCs w:val="20"/>
          <w:color w:val="auto"/>
        </w:rPr>
      </w:pPr>
    </w:p>
    <w:p>
      <w:pPr>
        <w:ind w:left="420" w:right="60"/>
        <w:spacing w:after="0" w:line="246" w:lineRule="auto"/>
        <w:rPr>
          <w:sz w:val="20"/>
          <w:szCs w:val="20"/>
          <w:color w:val="auto"/>
        </w:rPr>
      </w:pPr>
      <w:r>
        <w:rPr>
          <w:rFonts w:ascii="Times New Roman" w:cs="Times New Roman" w:eastAsia="Times New Roman" w:hAnsi="Times New Roman"/>
          <w:sz w:val="20"/>
          <w:szCs w:val="20"/>
          <w:color w:val="auto"/>
        </w:rPr>
        <w:t>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w:t>
      </w:r>
    </w:p>
    <w:p>
      <w:pPr>
        <w:spacing w:after="0" w:line="165" w:lineRule="exact"/>
        <w:rPr>
          <w:sz w:val="20"/>
          <w:szCs w:val="20"/>
          <w:color w:val="auto"/>
        </w:rPr>
      </w:pPr>
    </w:p>
    <w:p>
      <w:pPr>
        <w:jc w:val="both"/>
        <w:ind w:left="420" w:right="80"/>
        <w:spacing w:after="0" w:line="251" w:lineRule="auto"/>
        <w:rPr>
          <w:sz w:val="20"/>
          <w:szCs w:val="20"/>
          <w:color w:val="auto"/>
        </w:rPr>
      </w:pPr>
      <w:r>
        <w:rPr>
          <w:rFonts w:ascii="Times New Roman" w:cs="Times New Roman" w:eastAsia="Times New Roman" w:hAnsi="Times New Roman"/>
          <w:sz w:val="20"/>
          <w:szCs w:val="20"/>
          <w:color w:val="auto"/>
        </w:rPr>
        <w:t>Any underwriting agreement or distribution agreement that the registrant enters into with any underwriters or agents involved in the offering or sale of any securities registered hereby may require such underwriters or dealers to indemnify the registrant, some or all of its directors and officers and its controlling persons, if any, for specified liabilities, which may include liabilities under the Securities Act of 1933, as amended.</w:t>
      </w:r>
    </w:p>
    <w:p>
      <w:pPr>
        <w:spacing w:after="0" w:line="159" w:lineRule="exact"/>
        <w:rPr>
          <w:sz w:val="20"/>
          <w:szCs w:val="20"/>
          <w:color w:val="auto"/>
        </w:rPr>
      </w:pPr>
    </w:p>
    <w:p>
      <w:pPr>
        <w:ind w:left="420" w:right="120"/>
        <w:spacing w:after="0" w:line="276" w:lineRule="auto"/>
        <w:rPr>
          <w:sz w:val="20"/>
          <w:szCs w:val="20"/>
          <w:color w:val="auto"/>
        </w:rPr>
      </w:pPr>
      <w:r>
        <w:rPr>
          <w:rFonts w:ascii="Times New Roman" w:cs="Times New Roman" w:eastAsia="Times New Roman" w:hAnsi="Times New Roman"/>
          <w:sz w:val="20"/>
          <w:szCs w:val="20"/>
          <w:color w:val="auto"/>
        </w:rPr>
        <w:t>Our restated certificate of incorporation provides that we will indemnify each person who was or is a party or threatened to be made a party to any threatened, pending or completed action,</w:t>
      </w:r>
    </w:p>
    <w:p>
      <w:pPr>
        <w:spacing w:after="0" w:line="7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II-2</w:t>
      </w:r>
    </w:p>
    <w:p>
      <w:pPr>
        <w:sectPr>
          <w:pgSz w:w="11900" w:h="16838" w:orient="portrait"/>
          <w:cols w:equalWidth="0" w:num="1">
            <w:col w:w="10820"/>
          </w:cols>
          <w:pgMar w:left="320" w:top="437" w:right="7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5">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6" w:lineRule="exact"/>
        <w:rPr>
          <w:sz w:val="20"/>
          <w:szCs w:val="20"/>
          <w:color w:val="auto"/>
        </w:rPr>
      </w:pPr>
    </w:p>
    <w:p>
      <w:pPr>
        <w:ind w:left="420"/>
        <w:spacing w:after="0" w:line="241" w:lineRule="auto"/>
        <w:rPr>
          <w:sz w:val="20"/>
          <w:szCs w:val="20"/>
          <w:color w:val="auto"/>
        </w:rPr>
      </w:pPr>
      <w:r>
        <w:rPr>
          <w:rFonts w:ascii="Times New Roman" w:cs="Times New Roman" w:eastAsia="Times New Roman" w:hAnsi="Times New Roman"/>
          <w:sz w:val="20"/>
          <w:szCs w:val="20"/>
          <w:color w:val="auto"/>
        </w:rPr>
        <w:t>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restated certificate of incorporation provides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spacing w:after="0" w:line="168" w:lineRule="exact"/>
        <w:rPr>
          <w:sz w:val="20"/>
          <w:szCs w:val="20"/>
          <w:color w:val="auto"/>
        </w:rPr>
      </w:pPr>
    </w:p>
    <w:p>
      <w:pPr>
        <w:ind w:left="420" w:right="220"/>
        <w:spacing w:after="0" w:line="248" w:lineRule="auto"/>
        <w:rPr>
          <w:sz w:val="20"/>
          <w:szCs w:val="20"/>
          <w:color w:val="auto"/>
        </w:rPr>
      </w:pPr>
      <w:r>
        <w:rPr>
          <w:rFonts w:ascii="Times New Roman" w:cs="Times New Roman" w:eastAsia="Times New Roman" w:hAnsi="Times New Roman"/>
          <w:sz w:val="20"/>
          <w:szCs w:val="20"/>
          <w:color w:val="auto"/>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other company or enterprise to which the person provides services at our request.</w:t>
      </w:r>
    </w:p>
    <w:p>
      <w:pPr>
        <w:spacing w:after="0" w:line="162" w:lineRule="exact"/>
        <w:rPr>
          <w:sz w:val="20"/>
          <w:szCs w:val="20"/>
          <w:color w:val="auto"/>
        </w:rPr>
      </w:pPr>
    </w:p>
    <w:p>
      <w:pPr>
        <w:ind w:left="420"/>
        <w:spacing w:after="0" w:line="276" w:lineRule="auto"/>
        <w:rPr>
          <w:sz w:val="20"/>
          <w:szCs w:val="20"/>
          <w:color w:val="auto"/>
        </w:rPr>
      </w:pPr>
      <w:r>
        <w:rPr>
          <w:rFonts w:ascii="Times New Roman" w:cs="Times New Roman" w:eastAsia="Times New Roman" w:hAnsi="Times New Roman"/>
          <w:sz w:val="20"/>
          <w:szCs w:val="20"/>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7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0"/>
          <w:szCs w:val="20"/>
          <w:color w:val="auto"/>
        </w:rPr>
        <w:t>II-3</w:t>
      </w:r>
    </w:p>
    <w:p>
      <w:pPr>
        <w:sectPr>
          <w:pgSz w:w="11900" w:h="16838" w:orient="portrait"/>
          <w:cols w:equalWidth="0" w:num="1">
            <w:col w:w="10820"/>
          </w:cols>
          <w:pgMar w:left="320" w:top="437" w:right="75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95"/>
        </w:trPr>
        <w:tc>
          <w:tcPr>
            <w:tcW w:w="12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b w:val="1"/>
                <w:bCs w:val="1"/>
                <w:color w:val="0000EE"/>
                <w:w w:val="97"/>
              </w:rPr>
              <w:t>Table of Contents</w:t>
            </w:r>
          </w:p>
        </w:tc>
        <w:tc>
          <w:tcPr>
            <w:tcW w:w="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1"/>
        </w:trPr>
        <w:tc>
          <w:tcPr>
            <w:tcW w:w="2240" w:type="dxa"/>
            <w:vAlign w:val="bottom"/>
            <w:gridSpan w:val="4"/>
          </w:tcPr>
          <w:p>
            <w:pPr>
              <w:ind w:left="420"/>
              <w:spacing w:after="0"/>
              <w:rPr>
                <w:sz w:val="20"/>
                <w:szCs w:val="20"/>
                <w:color w:val="auto"/>
              </w:rPr>
            </w:pPr>
            <w:r>
              <w:rPr>
                <w:rFonts w:ascii="Times New Roman" w:cs="Times New Roman" w:eastAsia="Times New Roman" w:hAnsi="Times New Roman"/>
                <w:sz w:val="20"/>
                <w:szCs w:val="20"/>
                <w:b w:val="1"/>
                <w:bCs w:val="1"/>
                <w:color w:val="auto"/>
              </w:rPr>
              <w:t>Item 16. Exhibits</w:t>
            </w: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40" w:type="dxa"/>
            <w:vAlign w:val="bottom"/>
          </w:tcPr>
          <w:p>
            <w:pPr>
              <w:spacing w:after="0"/>
              <w:rPr>
                <w:sz w:val="24"/>
                <w:szCs w:val="24"/>
                <w:color w:val="auto"/>
              </w:rPr>
            </w:pPr>
          </w:p>
        </w:tc>
        <w:tc>
          <w:tcPr>
            <w:tcW w:w="1800" w:type="dxa"/>
            <w:vAlign w:val="bottom"/>
            <w:gridSpan w:val="3"/>
          </w:tcPr>
          <w:p>
            <w:pPr>
              <w:ind w:left="20"/>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8580" w:type="dxa"/>
            <w:vAlign w:val="bottom"/>
            <w:gridSpan w:val="21"/>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Description</w:t>
            </w:r>
          </w:p>
        </w:tc>
        <w:tc>
          <w:tcPr>
            <w:tcW w:w="0" w:type="dxa"/>
            <w:vAlign w:val="bottom"/>
          </w:tcPr>
          <w:p>
            <w:pPr>
              <w:spacing w:after="0"/>
              <w:rPr>
                <w:sz w:val="1"/>
                <w:szCs w:val="1"/>
                <w:color w:val="auto"/>
              </w:rPr>
            </w:pPr>
          </w:p>
        </w:tc>
      </w:tr>
      <w:tr>
        <w:trPr>
          <w:trHeight w:val="258"/>
        </w:trPr>
        <w:tc>
          <w:tcPr>
            <w:tcW w:w="2240" w:type="dxa"/>
            <w:vAlign w:val="bottom"/>
            <w:gridSpan w:val="4"/>
          </w:tcPr>
          <w:p>
            <w:pPr>
              <w:ind w:left="420"/>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8580" w:type="dxa"/>
            <w:vAlign w:val="bottom"/>
            <w:gridSpan w:val="21"/>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40" w:type="dxa"/>
            <w:vAlign w:val="bottom"/>
          </w:tcPr>
          <w:p>
            <w:pPr>
              <w:spacing w:after="0"/>
              <w:rPr>
                <w:sz w:val="17"/>
                <w:szCs w:val="17"/>
                <w:color w:val="auto"/>
              </w:rPr>
            </w:pPr>
          </w:p>
        </w:tc>
        <w:tc>
          <w:tcPr>
            <w:tcW w:w="72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20"/>
                <w:szCs w:val="20"/>
                <w:color w:val="auto"/>
              </w:rPr>
              <w:t>1.1*</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580" w:type="dxa"/>
            <w:vAlign w:val="bottom"/>
            <w:tcBorders>
              <w:top w:val="single" w:sz="8" w:color="auto"/>
            </w:tcBorders>
            <w:gridSpan w:val="21"/>
          </w:tcPr>
          <w:p>
            <w:pPr>
              <w:spacing w:after="0" w:line="197" w:lineRule="exact"/>
              <w:rPr>
                <w:sz w:val="20"/>
                <w:szCs w:val="20"/>
                <w:color w:val="auto"/>
              </w:rPr>
            </w:pPr>
            <w:r>
              <w:rPr>
                <w:rFonts w:ascii="Times New Roman" w:cs="Times New Roman" w:eastAsia="Times New Roman" w:hAnsi="Times New Roman"/>
                <w:sz w:val="20"/>
                <w:szCs w:val="20"/>
                <w:color w:val="auto"/>
              </w:rPr>
              <w:t>Form of Underwriting Agreement.</w:t>
            </w:r>
          </w:p>
        </w:tc>
        <w:tc>
          <w:tcPr>
            <w:tcW w:w="0" w:type="dxa"/>
            <w:vAlign w:val="bottom"/>
          </w:tcPr>
          <w:p>
            <w:pPr>
              <w:spacing w:after="0"/>
              <w:rPr>
                <w:sz w:val="1"/>
                <w:szCs w:val="1"/>
                <w:color w:val="auto"/>
              </w:rPr>
            </w:pPr>
          </w:p>
        </w:tc>
      </w:tr>
      <w:tr>
        <w:trPr>
          <w:trHeight w:val="216"/>
        </w:trPr>
        <w:tc>
          <w:tcPr>
            <w:tcW w:w="1160" w:type="dxa"/>
            <w:vAlign w:val="bottom"/>
            <w:gridSpan w:val="2"/>
          </w:tcPr>
          <w:p>
            <w:pPr>
              <w:ind w:left="420"/>
              <w:spacing w:after="0" w:line="216" w:lineRule="exact"/>
              <w:rPr>
                <w:sz w:val="20"/>
                <w:szCs w:val="20"/>
                <w:color w:val="auto"/>
              </w:rPr>
            </w:pPr>
            <w:r>
              <w:rPr>
                <w:rFonts w:ascii="Times New Roman" w:cs="Times New Roman" w:eastAsia="Times New Roman" w:hAnsi="Times New Roman"/>
                <w:sz w:val="20"/>
                <w:szCs w:val="20"/>
                <w:color w:val="auto"/>
              </w:rPr>
              <w:t>1.2</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80" w:type="dxa"/>
            <w:vAlign w:val="bottom"/>
            <w:tcBorders>
              <w:bottom w:val="single" w:sz="8" w:color="0000EE"/>
            </w:tcBorders>
            <w:gridSpan w:val="18"/>
          </w:tcPr>
          <w:p>
            <w:pPr>
              <w:spacing w:after="0" w:line="216" w:lineRule="exact"/>
              <w:rPr>
                <w:sz w:val="20"/>
                <w:szCs w:val="20"/>
                <w:color w:val="auto"/>
              </w:rPr>
            </w:pPr>
            <w:r>
              <w:rPr>
                <w:rFonts w:ascii="Times New Roman" w:cs="Times New Roman" w:eastAsia="Times New Roman" w:hAnsi="Times New Roman"/>
                <w:sz w:val="20"/>
                <w:szCs w:val="20"/>
                <w:color w:val="0000EE"/>
              </w:rPr>
              <w:t>At The Market Offering Agreement, dated as of July 19, 2024, by and between T2 Biosystems, Inc. and</w:t>
            </w:r>
          </w:p>
        </w:tc>
        <w:tc>
          <w:tcPr>
            <w:tcW w:w="1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gridSpan w:val="2"/>
            <w:vMerge w:val="restart"/>
          </w:tcPr>
          <w:p>
            <w:pPr>
              <w:ind w:left="420"/>
              <w:spacing w:after="0"/>
              <w:rPr>
                <w:sz w:val="20"/>
                <w:szCs w:val="20"/>
                <w:color w:val="auto"/>
              </w:rPr>
            </w:pPr>
            <w:r>
              <w:rPr>
                <w:rFonts w:ascii="Times New Roman" w:cs="Times New Roman" w:eastAsia="Times New Roman" w:hAnsi="Times New Roman"/>
                <w:sz w:val="20"/>
                <w:szCs w:val="20"/>
                <w:color w:val="auto"/>
              </w:rPr>
              <w:t>3.1</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580" w:type="dxa"/>
            <w:vAlign w:val="bottom"/>
            <w:gridSpan w:val="21"/>
          </w:tcPr>
          <w:p>
            <w:pPr>
              <w:spacing w:after="0" w:line="209" w:lineRule="exact"/>
              <w:rPr>
                <w:sz w:val="20"/>
                <w:szCs w:val="20"/>
                <w:color w:val="auto"/>
              </w:rPr>
            </w:pPr>
            <w:r>
              <w:rPr>
                <w:rFonts w:ascii="Times New Roman" w:cs="Times New Roman" w:eastAsia="Times New Roman" w:hAnsi="Times New Roman"/>
                <w:sz w:val="20"/>
                <w:szCs w:val="20"/>
                <w:color w:val="0000EE"/>
              </w:rPr>
              <w:t>H.C. Wainwright &amp; Co., LLC.</w:t>
            </w:r>
          </w:p>
        </w:tc>
        <w:tc>
          <w:tcPr>
            <w:tcW w:w="0" w:type="dxa"/>
            <w:vAlign w:val="bottom"/>
          </w:tcPr>
          <w:p>
            <w:pPr>
              <w:spacing w:after="0"/>
              <w:rPr>
                <w:sz w:val="1"/>
                <w:szCs w:val="1"/>
                <w:color w:val="auto"/>
              </w:rPr>
            </w:pPr>
          </w:p>
        </w:tc>
      </w:tr>
      <w:tr>
        <w:trPr>
          <w:trHeight w:val="20"/>
        </w:trPr>
        <w:tc>
          <w:tcPr>
            <w:tcW w:w="11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580" w:type="dxa"/>
            <w:vAlign w:val="bottom"/>
            <w:gridSpan w:val="21"/>
          </w:tcPr>
          <w:p>
            <w:pPr>
              <w:spacing w:after="0" w:line="209" w:lineRule="exact"/>
              <w:rPr>
                <w:rFonts w:ascii="Times New Roman" w:cs="Times New Roman" w:eastAsia="Times New Roman" w:hAnsi="Times New Roman"/>
                <w:sz w:val="20"/>
                <w:szCs w:val="20"/>
                <w:color w:val="0000EE"/>
              </w:rPr>
            </w:pPr>
            <w:hyperlink r:id="rId106">
              <w:r>
                <w:rPr>
                  <w:rFonts w:ascii="Times New Roman" w:cs="Times New Roman" w:eastAsia="Times New Roman" w:hAnsi="Times New Roman"/>
                  <w:sz w:val="20"/>
                  <w:szCs w:val="20"/>
                  <w:color w:val="0000EE"/>
                </w:rPr>
                <w:t>Restated Certificate of Incorporation of T2 Biosystems, Inc. (incorporated by reference to Exhibit 3.1 of</w:t>
              </w:r>
            </w:hyperlink>
          </w:p>
        </w:tc>
        <w:tc>
          <w:tcPr>
            <w:tcW w:w="0" w:type="dxa"/>
            <w:vAlign w:val="bottom"/>
          </w:tcPr>
          <w:p>
            <w:pPr>
              <w:spacing w:after="0"/>
              <w:rPr>
                <w:sz w:val="1"/>
                <w:szCs w:val="1"/>
                <w:color w:val="auto"/>
              </w:rPr>
            </w:pPr>
          </w:p>
        </w:tc>
      </w:tr>
      <w:tr>
        <w:trPr>
          <w:trHeight w:val="209"/>
        </w:trPr>
        <w:tc>
          <w:tcPr>
            <w:tcW w:w="1160" w:type="dxa"/>
            <w:vAlign w:val="bottom"/>
            <w:gridSpan w:val="2"/>
            <w:vMerge w:val="restart"/>
          </w:tcPr>
          <w:p>
            <w:pPr>
              <w:ind w:left="420"/>
              <w:spacing w:after="0"/>
              <w:rPr>
                <w:sz w:val="20"/>
                <w:szCs w:val="20"/>
                <w:color w:val="auto"/>
              </w:rPr>
            </w:pPr>
            <w:r>
              <w:rPr>
                <w:rFonts w:ascii="Times New Roman" w:cs="Times New Roman" w:eastAsia="Times New Roman" w:hAnsi="Times New Roman"/>
                <w:sz w:val="20"/>
                <w:szCs w:val="20"/>
                <w:color w:val="auto"/>
              </w:rPr>
              <w:t>3.2</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300" w:type="dxa"/>
            <w:vAlign w:val="bottom"/>
            <w:tcBorders>
              <w:top w:val="single" w:sz="8" w:color="0000EE"/>
              <w:bottom w:val="single" w:sz="8" w:color="0000EE"/>
            </w:tcBorders>
            <w:gridSpan w:val="6"/>
          </w:tcPr>
          <w:p>
            <w:pPr>
              <w:spacing w:after="0" w:line="209" w:lineRule="exact"/>
              <w:rPr>
                <w:rFonts w:ascii="Times New Roman" w:cs="Times New Roman" w:eastAsia="Times New Roman" w:hAnsi="Times New Roman"/>
                <w:sz w:val="20"/>
                <w:szCs w:val="20"/>
                <w:color w:val="0000EE"/>
              </w:rPr>
            </w:pPr>
            <w:hyperlink r:id="rId106">
              <w:r>
                <w:rPr>
                  <w:rFonts w:ascii="Times New Roman" w:cs="Times New Roman" w:eastAsia="Times New Roman" w:hAnsi="Times New Roman"/>
                  <w:sz w:val="20"/>
                  <w:szCs w:val="20"/>
                  <w:color w:val="0000EE"/>
                </w:rPr>
                <w:t>the Company’s Form 8-K filed on August 12, 2014).</w:t>
              </w:r>
            </w:hyperlink>
          </w:p>
        </w:tc>
        <w:tc>
          <w:tcPr>
            <w:tcW w:w="4200" w:type="dxa"/>
            <w:vAlign w:val="bottom"/>
            <w:tcBorders>
              <w:top w:val="single" w:sz="8" w:color="0000EE"/>
            </w:tcBorders>
            <w:gridSpan w:val="13"/>
          </w:tcPr>
          <w:p>
            <w:pPr>
              <w:spacing w:after="0"/>
              <w:rPr>
                <w:sz w:val="18"/>
                <w:szCs w:val="18"/>
                <w:color w:val="auto"/>
              </w:rPr>
            </w:pPr>
          </w:p>
        </w:tc>
        <w:tc>
          <w:tcPr>
            <w:tcW w:w="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580" w:type="dxa"/>
            <w:vAlign w:val="bottom"/>
            <w:gridSpan w:val="21"/>
          </w:tcPr>
          <w:p>
            <w:pPr>
              <w:spacing w:after="0" w:line="209" w:lineRule="exact"/>
              <w:rPr>
                <w:rFonts w:ascii="Times New Roman" w:cs="Times New Roman" w:eastAsia="Times New Roman" w:hAnsi="Times New Roman"/>
                <w:sz w:val="20"/>
                <w:szCs w:val="20"/>
                <w:color w:val="0000EE"/>
              </w:rPr>
            </w:pPr>
            <w:hyperlink r:id="rId107">
              <w:r>
                <w:rPr>
                  <w:rFonts w:ascii="Times New Roman" w:cs="Times New Roman" w:eastAsia="Times New Roman" w:hAnsi="Times New Roman"/>
                  <w:sz w:val="20"/>
                  <w:szCs w:val="20"/>
                  <w:color w:val="0000EE"/>
                </w:rPr>
                <w:t>Certificate of Amendment of Restated Certificate of Incorporation of the Company dated July 23, 2021</w:t>
              </w:r>
            </w:hyperlink>
          </w:p>
        </w:tc>
        <w:tc>
          <w:tcPr>
            <w:tcW w:w="0" w:type="dxa"/>
            <w:vAlign w:val="bottom"/>
          </w:tcPr>
          <w:p>
            <w:pPr>
              <w:spacing w:after="0"/>
              <w:rPr>
                <w:sz w:val="1"/>
                <w:szCs w:val="1"/>
                <w:color w:val="auto"/>
              </w:rPr>
            </w:pPr>
          </w:p>
        </w:tc>
      </w:tr>
      <w:tr>
        <w:trPr>
          <w:trHeight w:val="209"/>
        </w:trPr>
        <w:tc>
          <w:tcPr>
            <w:tcW w:w="1160" w:type="dxa"/>
            <w:vAlign w:val="bottom"/>
            <w:gridSpan w:val="2"/>
            <w:vMerge w:val="restart"/>
          </w:tcPr>
          <w:p>
            <w:pPr>
              <w:ind w:left="420"/>
              <w:spacing w:after="0"/>
              <w:rPr>
                <w:sz w:val="20"/>
                <w:szCs w:val="20"/>
                <w:color w:val="auto"/>
              </w:rPr>
            </w:pPr>
            <w:r>
              <w:rPr>
                <w:rFonts w:ascii="Times New Roman" w:cs="Times New Roman" w:eastAsia="Times New Roman" w:hAnsi="Times New Roman"/>
                <w:sz w:val="20"/>
                <w:szCs w:val="20"/>
                <w:color w:val="auto"/>
              </w:rPr>
              <w:t>3.3</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20" w:type="dxa"/>
            <w:vAlign w:val="bottom"/>
            <w:tcBorders>
              <w:top w:val="single" w:sz="8" w:color="0000EE"/>
            </w:tcBorders>
            <w:gridSpan w:val="17"/>
          </w:tcPr>
          <w:p>
            <w:pPr>
              <w:spacing w:after="0" w:line="209" w:lineRule="exact"/>
              <w:rPr>
                <w:rFonts w:ascii="Times New Roman" w:cs="Times New Roman" w:eastAsia="Times New Roman" w:hAnsi="Times New Roman"/>
                <w:sz w:val="20"/>
                <w:szCs w:val="20"/>
                <w:color w:val="0000EE"/>
              </w:rPr>
            </w:pPr>
            <w:hyperlink r:id="rId107">
              <w:r>
                <w:rPr>
                  <w:rFonts w:ascii="Times New Roman" w:cs="Times New Roman" w:eastAsia="Times New Roman" w:hAnsi="Times New Roman"/>
                  <w:sz w:val="20"/>
                  <w:szCs w:val="20"/>
                  <w:color w:val="0000EE"/>
                </w:rPr>
                <w:t>(incorporated by reference to Exhibit 3.1 of the Company’s Form 8-K filed on July 23, 2021).</w:t>
              </w:r>
            </w:hyperlink>
          </w:p>
        </w:tc>
        <w:tc>
          <w:tcPr>
            <w:tcW w:w="16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300" w:type="dxa"/>
            <w:vAlign w:val="bottom"/>
            <w:tcBorders>
              <w:bottom w:val="single" w:sz="8" w:color="0000EE"/>
            </w:tcBorders>
            <w:gridSpan w:val="16"/>
          </w:tcPr>
          <w:p>
            <w:pPr>
              <w:spacing w:after="0" w:line="209" w:lineRule="exact"/>
              <w:rPr>
                <w:rFonts w:ascii="Times New Roman" w:cs="Times New Roman" w:eastAsia="Times New Roman" w:hAnsi="Times New Roman"/>
                <w:sz w:val="20"/>
                <w:szCs w:val="20"/>
                <w:color w:val="0000EE"/>
              </w:rPr>
            </w:pPr>
            <w:hyperlink r:id="rId108">
              <w:r>
                <w:rPr>
                  <w:rFonts w:ascii="Times New Roman" w:cs="Times New Roman" w:eastAsia="Times New Roman" w:hAnsi="Times New Roman"/>
                  <w:sz w:val="20"/>
                  <w:szCs w:val="20"/>
                  <w:color w:val="0000EE"/>
                </w:rPr>
                <w:t>Certificate of Amendment of Restated Certificate of Incorporation of the Company dated October 12,</w:t>
              </w:r>
            </w:hyperlink>
          </w:p>
        </w:tc>
        <w:tc>
          <w:tcPr>
            <w:tcW w:w="28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gridSpan w:val="2"/>
            <w:vMerge w:val="restart"/>
          </w:tcPr>
          <w:p>
            <w:pPr>
              <w:ind w:left="420"/>
              <w:spacing w:after="0"/>
              <w:rPr>
                <w:sz w:val="20"/>
                <w:szCs w:val="20"/>
                <w:color w:val="auto"/>
              </w:rPr>
            </w:pPr>
            <w:r>
              <w:rPr>
                <w:rFonts w:ascii="Times New Roman" w:cs="Times New Roman" w:eastAsia="Times New Roman" w:hAnsi="Times New Roman"/>
                <w:sz w:val="20"/>
                <w:szCs w:val="20"/>
                <w:color w:val="auto"/>
              </w:rPr>
              <w:t>3.4</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580" w:type="dxa"/>
            <w:vAlign w:val="bottom"/>
            <w:gridSpan w:val="21"/>
          </w:tcPr>
          <w:p>
            <w:pPr>
              <w:spacing w:after="0" w:line="209" w:lineRule="exact"/>
              <w:rPr>
                <w:rFonts w:ascii="Times New Roman" w:cs="Times New Roman" w:eastAsia="Times New Roman" w:hAnsi="Times New Roman"/>
                <w:sz w:val="20"/>
                <w:szCs w:val="20"/>
                <w:color w:val="0000EE"/>
              </w:rPr>
            </w:pPr>
            <w:hyperlink r:id="rId108">
              <w:r>
                <w:rPr>
                  <w:rFonts w:ascii="Times New Roman" w:cs="Times New Roman" w:eastAsia="Times New Roman" w:hAnsi="Times New Roman"/>
                  <w:sz w:val="20"/>
                  <w:szCs w:val="20"/>
                  <w:color w:val="0000EE"/>
                </w:rPr>
                <w:t>2022 (incorporated by reference to Exhibit 3.1 of the Company’s Form 8-K filed on October 12, 2022).</w:t>
              </w:r>
            </w:hyperlink>
          </w:p>
        </w:tc>
        <w:tc>
          <w:tcPr>
            <w:tcW w:w="0" w:type="dxa"/>
            <w:vAlign w:val="bottom"/>
          </w:tcPr>
          <w:p>
            <w:pPr>
              <w:spacing w:after="0"/>
              <w:rPr>
                <w:sz w:val="1"/>
                <w:szCs w:val="1"/>
                <w:color w:val="auto"/>
              </w:rPr>
            </w:pPr>
          </w:p>
        </w:tc>
      </w:tr>
      <w:tr>
        <w:trPr>
          <w:trHeight w:val="20"/>
        </w:trPr>
        <w:tc>
          <w:tcPr>
            <w:tcW w:w="11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580" w:type="dxa"/>
            <w:vAlign w:val="bottom"/>
            <w:gridSpan w:val="21"/>
          </w:tcPr>
          <w:p>
            <w:pPr>
              <w:spacing w:after="0" w:line="209" w:lineRule="exact"/>
              <w:rPr>
                <w:rFonts w:ascii="Times New Roman" w:cs="Times New Roman" w:eastAsia="Times New Roman" w:hAnsi="Times New Roman"/>
                <w:sz w:val="20"/>
                <w:szCs w:val="20"/>
                <w:color w:val="0000EE"/>
              </w:rPr>
            </w:pPr>
            <w:hyperlink r:id="rId108">
              <w:r>
                <w:rPr>
                  <w:rFonts w:ascii="Times New Roman" w:cs="Times New Roman" w:eastAsia="Times New Roman" w:hAnsi="Times New Roman"/>
                  <w:sz w:val="20"/>
                  <w:szCs w:val="20"/>
                  <w:color w:val="0000EE"/>
                </w:rPr>
                <w:t>Third Amended and Restated Bylaws of T2 Biosystems, Inc. (incorporated by reference to Exhibit 3.4 of</w:t>
              </w:r>
            </w:hyperlink>
          </w:p>
        </w:tc>
        <w:tc>
          <w:tcPr>
            <w:tcW w:w="0" w:type="dxa"/>
            <w:vAlign w:val="bottom"/>
          </w:tcPr>
          <w:p>
            <w:pPr>
              <w:spacing w:after="0"/>
              <w:rPr>
                <w:sz w:val="1"/>
                <w:szCs w:val="1"/>
                <w:color w:val="auto"/>
              </w:rPr>
            </w:pPr>
          </w:p>
        </w:tc>
      </w:tr>
      <w:tr>
        <w:trPr>
          <w:trHeight w:val="209"/>
        </w:trPr>
        <w:tc>
          <w:tcPr>
            <w:tcW w:w="1160" w:type="dxa"/>
            <w:vAlign w:val="bottom"/>
            <w:gridSpan w:val="2"/>
            <w:vMerge w:val="restart"/>
          </w:tcPr>
          <w:p>
            <w:pPr>
              <w:ind w:left="420"/>
              <w:spacing w:after="0"/>
              <w:rPr>
                <w:sz w:val="20"/>
                <w:szCs w:val="20"/>
                <w:color w:val="auto"/>
              </w:rPr>
            </w:pPr>
            <w:r>
              <w:rPr>
                <w:rFonts w:ascii="Times New Roman" w:cs="Times New Roman" w:eastAsia="Times New Roman" w:hAnsi="Times New Roman"/>
                <w:sz w:val="20"/>
                <w:szCs w:val="20"/>
                <w:color w:val="auto"/>
              </w:rPr>
              <w:t>4.1</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560" w:type="dxa"/>
            <w:vAlign w:val="bottom"/>
            <w:tcBorders>
              <w:top w:val="single" w:sz="8" w:color="0000EE"/>
            </w:tcBorders>
            <w:gridSpan w:val="20"/>
          </w:tcPr>
          <w:p>
            <w:pPr>
              <w:spacing w:after="0" w:line="209" w:lineRule="exact"/>
              <w:rPr>
                <w:rFonts w:ascii="Times New Roman" w:cs="Times New Roman" w:eastAsia="Times New Roman" w:hAnsi="Times New Roman"/>
                <w:sz w:val="20"/>
                <w:szCs w:val="20"/>
                <w:color w:val="0000EE"/>
              </w:rPr>
            </w:pPr>
            <w:hyperlink r:id="rId108">
              <w:r>
                <w:rPr>
                  <w:rFonts w:ascii="Times New Roman" w:cs="Times New Roman" w:eastAsia="Times New Roman" w:hAnsi="Times New Roman"/>
                  <w:sz w:val="20"/>
                  <w:szCs w:val="20"/>
                  <w:color w:val="0000EE"/>
                </w:rPr>
                <w:t>the Company’s Form 10-Q filed on August 16, 2022).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80" w:type="dxa"/>
            <w:vAlign w:val="bottom"/>
            <w:tcBorders>
              <w:bottom w:val="single" w:sz="8" w:color="0000EE"/>
            </w:tcBorders>
            <w:gridSpan w:val="18"/>
          </w:tcPr>
          <w:p>
            <w:pPr>
              <w:spacing w:after="0" w:line="209" w:lineRule="exact"/>
              <w:rPr>
                <w:rFonts w:ascii="Times New Roman" w:cs="Times New Roman" w:eastAsia="Times New Roman" w:hAnsi="Times New Roman"/>
                <w:sz w:val="20"/>
                <w:szCs w:val="20"/>
                <w:color w:val="0000EE"/>
              </w:rPr>
            </w:pPr>
            <w:hyperlink r:id="rId109">
              <w:r>
                <w:rPr>
                  <w:rFonts w:ascii="Times New Roman" w:cs="Times New Roman" w:eastAsia="Times New Roman" w:hAnsi="Times New Roman"/>
                  <w:sz w:val="20"/>
                  <w:szCs w:val="20"/>
                  <w:color w:val="0000EE"/>
                </w:rPr>
                <w:t>Form of Specimen Certificate Representing Common Stock (incorporated by reference to Exhibit 4.1 to</w:t>
              </w:r>
            </w:hyperlink>
          </w:p>
        </w:tc>
        <w:tc>
          <w:tcPr>
            <w:tcW w:w="1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gridSpan w:val="2"/>
            <w:vMerge w:val="restart"/>
          </w:tcPr>
          <w:p>
            <w:pPr>
              <w:ind w:left="420"/>
              <w:spacing w:after="0"/>
              <w:rPr>
                <w:sz w:val="20"/>
                <w:szCs w:val="20"/>
                <w:color w:val="auto"/>
              </w:rPr>
            </w:pPr>
            <w:r>
              <w:rPr>
                <w:rFonts w:ascii="Times New Roman" w:cs="Times New Roman" w:eastAsia="Times New Roman" w:hAnsi="Times New Roman"/>
                <w:sz w:val="20"/>
                <w:szCs w:val="20"/>
                <w:color w:val="auto"/>
              </w:rPr>
              <w:t>4.2</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80" w:type="dxa"/>
            <w:vAlign w:val="bottom"/>
            <w:tcBorders>
              <w:bottom w:val="single" w:sz="8" w:color="0000EE"/>
            </w:tcBorders>
            <w:gridSpan w:val="15"/>
          </w:tcPr>
          <w:p>
            <w:pPr>
              <w:spacing w:after="0" w:line="209" w:lineRule="exact"/>
              <w:rPr>
                <w:rFonts w:ascii="Times New Roman" w:cs="Times New Roman" w:eastAsia="Times New Roman" w:hAnsi="Times New Roman"/>
                <w:sz w:val="20"/>
                <w:szCs w:val="20"/>
                <w:color w:val="0000EE"/>
              </w:rPr>
            </w:pPr>
            <w:hyperlink r:id="rId109">
              <w:r>
                <w:rPr>
                  <w:rFonts w:ascii="Times New Roman" w:cs="Times New Roman" w:eastAsia="Times New Roman" w:hAnsi="Times New Roman"/>
                  <w:sz w:val="20"/>
                  <w:szCs w:val="20"/>
                  <w:color w:val="0000EE"/>
                </w:rPr>
                <w:t>the Company’s Registration Statement on Form S-1/A (File No. 333-197193) filed on July 28, 2014).</w:t>
              </w:r>
            </w:hyperlink>
          </w:p>
        </w:tc>
        <w:tc>
          <w:tcPr>
            <w:tcW w:w="30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60" w:type="dxa"/>
            <w:vAlign w:val="bottom"/>
            <w:tcBorders>
              <w:bottom w:val="single" w:sz="8" w:color="0000EE"/>
            </w:tcBorders>
            <w:gridSpan w:val="2"/>
          </w:tcPr>
          <w:p>
            <w:pPr>
              <w:spacing w:after="0" w:line="209" w:lineRule="exact"/>
              <w:rPr>
                <w:sz w:val="20"/>
                <w:szCs w:val="20"/>
                <w:color w:val="auto"/>
              </w:rPr>
            </w:pPr>
            <w:r>
              <w:rPr>
                <w:rFonts w:ascii="Times New Roman" w:cs="Times New Roman" w:eastAsia="Times New Roman" w:hAnsi="Times New Roman"/>
                <w:sz w:val="20"/>
                <w:szCs w:val="20"/>
                <w:color w:val="0000EE"/>
              </w:rPr>
              <w:t>Form of Indenture.</w:t>
            </w:r>
          </w:p>
        </w:tc>
        <w:tc>
          <w:tcPr>
            <w:tcW w:w="7020" w:type="dxa"/>
            <w:vAlign w:val="bottom"/>
            <w:gridSpan w:val="19"/>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gridSpan w:val="2"/>
          </w:tcPr>
          <w:p>
            <w:pPr>
              <w:ind w:left="420"/>
              <w:spacing w:after="0" w:line="222" w:lineRule="exact"/>
              <w:rPr>
                <w:sz w:val="20"/>
                <w:szCs w:val="20"/>
                <w:color w:val="auto"/>
              </w:rPr>
            </w:pPr>
            <w:r>
              <w:rPr>
                <w:rFonts w:ascii="Times New Roman" w:cs="Times New Roman" w:eastAsia="Times New Roman" w:hAnsi="Times New Roman"/>
                <w:sz w:val="20"/>
                <w:szCs w:val="20"/>
                <w:color w:val="auto"/>
              </w:rPr>
              <w:t>4.3*</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580" w:type="dxa"/>
            <w:vAlign w:val="bottom"/>
            <w:gridSpan w:val="21"/>
          </w:tcPr>
          <w:p>
            <w:pPr>
              <w:spacing w:after="0" w:line="222" w:lineRule="exact"/>
              <w:rPr>
                <w:sz w:val="20"/>
                <w:szCs w:val="20"/>
                <w:color w:val="auto"/>
              </w:rPr>
            </w:pPr>
            <w:r>
              <w:rPr>
                <w:rFonts w:ascii="Times New Roman" w:cs="Times New Roman" w:eastAsia="Times New Roman" w:hAnsi="Times New Roman"/>
                <w:sz w:val="20"/>
                <w:szCs w:val="20"/>
                <w:color w:val="auto"/>
              </w:rPr>
              <w:t>Form of Note.</w:t>
            </w:r>
          </w:p>
        </w:tc>
        <w:tc>
          <w:tcPr>
            <w:tcW w:w="0" w:type="dxa"/>
            <w:vAlign w:val="bottom"/>
          </w:tcPr>
          <w:p>
            <w:pPr>
              <w:spacing w:after="0"/>
              <w:rPr>
                <w:sz w:val="1"/>
                <w:szCs w:val="1"/>
                <w:color w:val="auto"/>
              </w:rPr>
            </w:pPr>
          </w:p>
        </w:tc>
      </w:tr>
      <w:tr>
        <w:trPr>
          <w:trHeight w:val="229"/>
        </w:trPr>
        <w:tc>
          <w:tcPr>
            <w:tcW w:w="116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4.4*</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580" w:type="dxa"/>
            <w:vAlign w:val="bottom"/>
            <w:gridSpan w:val="21"/>
          </w:tcPr>
          <w:p>
            <w:pPr>
              <w:spacing w:after="0"/>
              <w:rPr>
                <w:sz w:val="20"/>
                <w:szCs w:val="20"/>
                <w:color w:val="auto"/>
              </w:rPr>
            </w:pPr>
            <w:r>
              <w:rPr>
                <w:rFonts w:ascii="Times New Roman" w:cs="Times New Roman" w:eastAsia="Times New Roman" w:hAnsi="Times New Roman"/>
                <w:sz w:val="20"/>
                <w:szCs w:val="20"/>
                <w:color w:val="auto"/>
              </w:rPr>
              <w:t>Form of Warrant.</w:t>
            </w:r>
          </w:p>
        </w:tc>
        <w:tc>
          <w:tcPr>
            <w:tcW w:w="0" w:type="dxa"/>
            <w:vAlign w:val="bottom"/>
          </w:tcPr>
          <w:p>
            <w:pPr>
              <w:spacing w:after="0"/>
              <w:rPr>
                <w:sz w:val="1"/>
                <w:szCs w:val="1"/>
                <w:color w:val="auto"/>
              </w:rPr>
            </w:pPr>
          </w:p>
        </w:tc>
      </w:tr>
      <w:tr>
        <w:trPr>
          <w:trHeight w:val="229"/>
        </w:trPr>
        <w:tc>
          <w:tcPr>
            <w:tcW w:w="116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4.5*</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580" w:type="dxa"/>
            <w:vAlign w:val="bottom"/>
            <w:gridSpan w:val="21"/>
          </w:tcPr>
          <w:p>
            <w:pPr>
              <w:spacing w:after="0"/>
              <w:rPr>
                <w:sz w:val="20"/>
                <w:szCs w:val="20"/>
                <w:color w:val="auto"/>
              </w:rPr>
            </w:pPr>
            <w:r>
              <w:rPr>
                <w:rFonts w:ascii="Times New Roman" w:cs="Times New Roman" w:eastAsia="Times New Roman" w:hAnsi="Times New Roman"/>
                <w:sz w:val="20"/>
                <w:szCs w:val="20"/>
                <w:color w:val="auto"/>
              </w:rPr>
              <w:t>Form of Warrant Agreement.</w:t>
            </w:r>
          </w:p>
        </w:tc>
        <w:tc>
          <w:tcPr>
            <w:tcW w:w="0" w:type="dxa"/>
            <w:vAlign w:val="bottom"/>
          </w:tcPr>
          <w:p>
            <w:pPr>
              <w:spacing w:after="0"/>
              <w:rPr>
                <w:sz w:val="1"/>
                <w:szCs w:val="1"/>
                <w:color w:val="auto"/>
              </w:rPr>
            </w:pPr>
          </w:p>
        </w:tc>
      </w:tr>
      <w:tr>
        <w:trPr>
          <w:trHeight w:val="229"/>
        </w:trPr>
        <w:tc>
          <w:tcPr>
            <w:tcW w:w="116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4.6*</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580" w:type="dxa"/>
            <w:vAlign w:val="bottom"/>
            <w:gridSpan w:val="21"/>
          </w:tcPr>
          <w:p>
            <w:pPr>
              <w:spacing w:after="0"/>
              <w:rPr>
                <w:sz w:val="20"/>
                <w:szCs w:val="20"/>
                <w:color w:val="auto"/>
              </w:rPr>
            </w:pPr>
            <w:r>
              <w:rPr>
                <w:rFonts w:ascii="Times New Roman" w:cs="Times New Roman" w:eastAsia="Times New Roman" w:hAnsi="Times New Roman"/>
                <w:sz w:val="20"/>
                <w:szCs w:val="20"/>
                <w:color w:val="auto"/>
              </w:rPr>
              <w:t>Form of Preferred Stock Certificate.</w:t>
            </w:r>
          </w:p>
        </w:tc>
        <w:tc>
          <w:tcPr>
            <w:tcW w:w="0" w:type="dxa"/>
            <w:vAlign w:val="bottom"/>
          </w:tcPr>
          <w:p>
            <w:pPr>
              <w:spacing w:after="0"/>
              <w:rPr>
                <w:sz w:val="1"/>
                <w:szCs w:val="1"/>
                <w:color w:val="auto"/>
              </w:rPr>
            </w:pPr>
          </w:p>
        </w:tc>
      </w:tr>
      <w:tr>
        <w:trPr>
          <w:trHeight w:val="229"/>
        </w:trPr>
        <w:tc>
          <w:tcPr>
            <w:tcW w:w="116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4.7*</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580" w:type="dxa"/>
            <w:vAlign w:val="bottom"/>
            <w:gridSpan w:val="21"/>
          </w:tcPr>
          <w:p>
            <w:pPr>
              <w:spacing w:after="0"/>
              <w:rPr>
                <w:sz w:val="20"/>
                <w:szCs w:val="20"/>
                <w:color w:val="auto"/>
              </w:rPr>
            </w:pPr>
            <w:r>
              <w:rPr>
                <w:rFonts w:ascii="Times New Roman" w:cs="Times New Roman" w:eastAsia="Times New Roman" w:hAnsi="Times New Roman"/>
                <w:sz w:val="20"/>
                <w:szCs w:val="20"/>
                <w:color w:val="auto"/>
              </w:rPr>
              <w:t>Form of Unit Agreement.</w:t>
            </w:r>
          </w:p>
        </w:tc>
        <w:tc>
          <w:tcPr>
            <w:tcW w:w="0" w:type="dxa"/>
            <w:vAlign w:val="bottom"/>
          </w:tcPr>
          <w:p>
            <w:pPr>
              <w:spacing w:after="0"/>
              <w:rPr>
                <w:sz w:val="1"/>
                <w:szCs w:val="1"/>
                <w:color w:val="auto"/>
              </w:rPr>
            </w:pPr>
          </w:p>
        </w:tc>
      </w:tr>
      <w:tr>
        <w:trPr>
          <w:trHeight w:val="216"/>
        </w:trPr>
        <w:tc>
          <w:tcPr>
            <w:tcW w:w="1160" w:type="dxa"/>
            <w:vAlign w:val="bottom"/>
            <w:gridSpan w:val="2"/>
          </w:tcPr>
          <w:p>
            <w:pPr>
              <w:ind w:left="420"/>
              <w:spacing w:after="0" w:line="216" w:lineRule="exact"/>
              <w:rPr>
                <w:sz w:val="20"/>
                <w:szCs w:val="20"/>
                <w:color w:val="auto"/>
              </w:rPr>
            </w:pPr>
            <w:r>
              <w:rPr>
                <w:rFonts w:ascii="Times New Roman" w:cs="Times New Roman" w:eastAsia="Times New Roman" w:hAnsi="Times New Roman"/>
                <w:sz w:val="20"/>
                <w:szCs w:val="20"/>
                <w:color w:val="auto"/>
              </w:rPr>
              <w:t>5.1</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60" w:type="dxa"/>
            <w:vAlign w:val="bottom"/>
            <w:tcBorders>
              <w:bottom w:val="single" w:sz="8" w:color="0000EE"/>
            </w:tcBorders>
            <w:gridSpan w:val="5"/>
          </w:tcPr>
          <w:p>
            <w:pPr>
              <w:spacing w:after="0" w:line="216" w:lineRule="exact"/>
              <w:rPr>
                <w:sz w:val="20"/>
                <w:szCs w:val="20"/>
                <w:color w:val="auto"/>
              </w:rPr>
            </w:pPr>
            <w:r>
              <w:rPr>
                <w:rFonts w:ascii="Times New Roman" w:cs="Times New Roman" w:eastAsia="Times New Roman" w:hAnsi="Times New Roman"/>
                <w:sz w:val="20"/>
                <w:szCs w:val="20"/>
                <w:color w:val="0000EE"/>
              </w:rPr>
              <w:t>Opinion of Latham &amp; Watkins LLP.</w:t>
            </w:r>
          </w:p>
        </w:tc>
        <w:tc>
          <w:tcPr>
            <w:tcW w:w="5620" w:type="dxa"/>
            <w:vAlign w:val="bottom"/>
            <w:gridSpan w:val="16"/>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gridSpan w:val="2"/>
          </w:tcPr>
          <w:p>
            <w:pPr>
              <w:ind w:left="420"/>
              <w:spacing w:after="0" w:line="209" w:lineRule="exact"/>
              <w:rPr>
                <w:sz w:val="20"/>
                <w:szCs w:val="20"/>
                <w:color w:val="auto"/>
              </w:rPr>
            </w:pPr>
            <w:r>
              <w:rPr>
                <w:rFonts w:ascii="Times New Roman" w:cs="Times New Roman" w:eastAsia="Times New Roman" w:hAnsi="Times New Roman"/>
                <w:sz w:val="20"/>
                <w:szCs w:val="20"/>
                <w:color w:val="auto"/>
              </w:rPr>
              <w:t>5.2</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40" w:type="dxa"/>
            <w:vAlign w:val="bottom"/>
            <w:tcBorders>
              <w:bottom w:val="single" w:sz="8" w:color="0000EE"/>
            </w:tcBorders>
            <w:gridSpan w:val="4"/>
          </w:tcPr>
          <w:p>
            <w:pPr>
              <w:spacing w:after="0" w:line="209" w:lineRule="exact"/>
              <w:rPr>
                <w:sz w:val="20"/>
                <w:szCs w:val="20"/>
                <w:color w:val="auto"/>
              </w:rPr>
            </w:pPr>
            <w:r>
              <w:rPr>
                <w:rFonts w:ascii="Times New Roman" w:cs="Times New Roman" w:eastAsia="Times New Roman" w:hAnsi="Times New Roman"/>
                <w:sz w:val="20"/>
                <w:szCs w:val="20"/>
                <w:color w:val="0000EE"/>
              </w:rPr>
              <w:t>Opinion of Latham &amp; Watkins LLP.</w:t>
            </w:r>
          </w:p>
        </w:tc>
        <w:tc>
          <w:tcPr>
            <w:tcW w:w="5640" w:type="dxa"/>
            <w:vAlign w:val="bottom"/>
            <w:gridSpan w:val="17"/>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gridSpan w:val="2"/>
          </w:tcPr>
          <w:p>
            <w:pPr>
              <w:ind w:left="420"/>
              <w:spacing w:after="0" w:line="209" w:lineRule="exact"/>
              <w:rPr>
                <w:sz w:val="20"/>
                <w:szCs w:val="20"/>
                <w:color w:val="auto"/>
              </w:rPr>
            </w:pPr>
            <w:r>
              <w:rPr>
                <w:rFonts w:ascii="Times New Roman" w:cs="Times New Roman" w:eastAsia="Times New Roman" w:hAnsi="Times New Roman"/>
                <w:sz w:val="20"/>
                <w:szCs w:val="20"/>
                <w:color w:val="auto"/>
              </w:rPr>
              <w:t>23.1</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580" w:type="dxa"/>
            <w:vAlign w:val="bottom"/>
            <w:gridSpan w:val="21"/>
          </w:tcPr>
          <w:p>
            <w:pPr>
              <w:spacing w:after="0" w:line="209" w:lineRule="exact"/>
              <w:rPr>
                <w:sz w:val="20"/>
                <w:szCs w:val="20"/>
                <w:color w:val="auto"/>
              </w:rPr>
            </w:pPr>
            <w:r>
              <w:rPr>
                <w:rFonts w:ascii="Times New Roman" w:cs="Times New Roman" w:eastAsia="Times New Roman" w:hAnsi="Times New Roman"/>
                <w:sz w:val="20"/>
                <w:szCs w:val="20"/>
                <w:color w:val="auto"/>
              </w:rPr>
              <w:t xml:space="preserve">Consent of Latham &amp; Watkins LLP (included in Exhibits </w:t>
            </w:r>
            <w:r>
              <w:rPr>
                <w:rFonts w:ascii="Times New Roman" w:cs="Times New Roman" w:eastAsia="Times New Roman" w:hAnsi="Times New Roman"/>
                <w:sz w:val="20"/>
                <w:szCs w:val="20"/>
                <w:color w:val="0000EE"/>
              </w:rPr>
              <w:t>5.1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color w:val="0000EE"/>
              </w:rPr>
              <w:t>5.2</w:t>
            </w: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ind w:left="420"/>
              <w:spacing w:after="0"/>
              <w:rPr>
                <w:sz w:val="20"/>
                <w:szCs w:val="20"/>
                <w:color w:val="auto"/>
              </w:rPr>
            </w:pPr>
            <w:r>
              <w:rPr>
                <w:rFonts w:ascii="Times New Roman" w:cs="Times New Roman" w:eastAsia="Times New Roman" w:hAnsi="Times New Roman"/>
                <w:sz w:val="20"/>
                <w:szCs w:val="20"/>
                <w:color w:val="auto"/>
              </w:rPr>
              <w:t>23.2</w:t>
            </w: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380" w:type="dxa"/>
            <w:vAlign w:val="bottom"/>
            <w:gridSpan w:val="7"/>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580" w:type="dxa"/>
            <w:vAlign w:val="bottom"/>
            <w:gridSpan w:val="21"/>
          </w:tcPr>
          <w:p>
            <w:pPr>
              <w:spacing w:after="0" w:line="209" w:lineRule="exact"/>
              <w:rPr>
                <w:sz w:val="20"/>
                <w:szCs w:val="20"/>
                <w:color w:val="auto"/>
              </w:rPr>
            </w:pPr>
            <w:r>
              <w:rPr>
                <w:rFonts w:ascii="Times New Roman" w:cs="Times New Roman" w:eastAsia="Times New Roman" w:hAnsi="Times New Roman"/>
                <w:sz w:val="20"/>
                <w:szCs w:val="20"/>
                <w:color w:val="0000EE"/>
              </w:rPr>
              <w:t>Consent of BDO USA, LLP, independent registered public accounting firm.</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ind w:left="420"/>
              <w:spacing w:after="0"/>
              <w:rPr>
                <w:sz w:val="20"/>
                <w:szCs w:val="20"/>
                <w:color w:val="auto"/>
              </w:rPr>
            </w:pPr>
            <w:r>
              <w:rPr>
                <w:rFonts w:ascii="Times New Roman" w:cs="Times New Roman" w:eastAsia="Times New Roman" w:hAnsi="Times New Roman"/>
                <w:sz w:val="20"/>
                <w:szCs w:val="20"/>
                <w:color w:val="auto"/>
              </w:rPr>
              <w:t>24.1</w:t>
            </w: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840" w:type="dxa"/>
            <w:vAlign w:val="bottom"/>
            <w:gridSpan w:val="11"/>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40" w:type="dxa"/>
            <w:vAlign w:val="bottom"/>
            <w:tcBorders>
              <w:bottom w:val="single" w:sz="8" w:color="0000EE"/>
            </w:tcBorders>
            <w:gridSpan w:val="13"/>
          </w:tcPr>
          <w:p>
            <w:pPr>
              <w:spacing w:after="0" w:line="209" w:lineRule="exact"/>
              <w:rPr>
                <w:sz w:val="20"/>
                <w:szCs w:val="20"/>
                <w:color w:val="auto"/>
              </w:rPr>
            </w:pPr>
            <w:r>
              <w:rPr>
                <w:rFonts w:ascii="Times New Roman" w:cs="Times New Roman" w:eastAsia="Times New Roman" w:hAnsi="Times New Roman"/>
                <w:sz w:val="20"/>
                <w:szCs w:val="20"/>
                <w:color w:val="0000EE"/>
              </w:rPr>
              <w:t>Powers of Attorney (incorporated by reference to the signature page hereto).</w:t>
            </w:r>
          </w:p>
        </w:tc>
        <w:tc>
          <w:tcPr>
            <w:tcW w:w="234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gridSpan w:val="2"/>
          </w:tcPr>
          <w:p>
            <w:pPr>
              <w:ind w:left="420"/>
              <w:spacing w:after="0" w:line="222" w:lineRule="exact"/>
              <w:rPr>
                <w:sz w:val="20"/>
                <w:szCs w:val="20"/>
                <w:color w:val="auto"/>
              </w:rPr>
            </w:pPr>
            <w:r>
              <w:rPr>
                <w:rFonts w:ascii="Times New Roman" w:cs="Times New Roman" w:eastAsia="Times New Roman" w:hAnsi="Times New Roman"/>
                <w:sz w:val="20"/>
                <w:szCs w:val="20"/>
                <w:color w:val="auto"/>
              </w:rPr>
              <w:t>25.1*</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580" w:type="dxa"/>
            <w:vAlign w:val="bottom"/>
            <w:gridSpan w:val="21"/>
          </w:tcPr>
          <w:p>
            <w:pPr>
              <w:spacing w:after="0" w:line="222" w:lineRule="exact"/>
              <w:rPr>
                <w:sz w:val="20"/>
                <w:szCs w:val="20"/>
                <w:color w:val="auto"/>
              </w:rPr>
            </w:pPr>
            <w:r>
              <w:rPr>
                <w:rFonts w:ascii="Times New Roman" w:cs="Times New Roman" w:eastAsia="Times New Roman" w:hAnsi="Times New Roman"/>
                <w:sz w:val="20"/>
                <w:szCs w:val="20"/>
                <w:color w:val="auto"/>
              </w:rPr>
              <w:t>Statement of Eligibility on Form T-1 under the Trust Indenture Act of 1939, as amended, of the trustee,</w:t>
            </w: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580" w:type="dxa"/>
            <w:vAlign w:val="bottom"/>
            <w:gridSpan w:val="21"/>
          </w:tcPr>
          <w:p>
            <w:pPr>
              <w:spacing w:after="0"/>
              <w:rPr>
                <w:sz w:val="20"/>
                <w:szCs w:val="20"/>
                <w:color w:val="auto"/>
              </w:rPr>
            </w:pPr>
            <w:r>
              <w:rPr>
                <w:rFonts w:ascii="Times New Roman" w:cs="Times New Roman" w:eastAsia="Times New Roman" w:hAnsi="Times New Roman"/>
                <w:sz w:val="20"/>
                <w:szCs w:val="20"/>
                <w:color w:val="auto"/>
              </w:rPr>
              <w:t>as trustee under the indenture filed as Exhibit 4.2 above.</w:t>
            </w:r>
          </w:p>
        </w:tc>
        <w:tc>
          <w:tcPr>
            <w:tcW w:w="0" w:type="dxa"/>
            <w:vAlign w:val="bottom"/>
          </w:tcPr>
          <w:p>
            <w:pPr>
              <w:spacing w:after="0"/>
              <w:rPr>
                <w:sz w:val="1"/>
                <w:szCs w:val="1"/>
                <w:color w:val="auto"/>
              </w:rPr>
            </w:pPr>
          </w:p>
        </w:tc>
      </w:tr>
      <w:tr>
        <w:trPr>
          <w:trHeight w:val="216"/>
        </w:trPr>
        <w:tc>
          <w:tcPr>
            <w:tcW w:w="1160" w:type="dxa"/>
            <w:vAlign w:val="bottom"/>
            <w:gridSpan w:val="2"/>
          </w:tcPr>
          <w:p>
            <w:pPr>
              <w:ind w:left="420"/>
              <w:spacing w:after="0" w:line="216" w:lineRule="exact"/>
              <w:rPr>
                <w:sz w:val="20"/>
                <w:szCs w:val="20"/>
                <w:color w:val="auto"/>
              </w:rPr>
            </w:pPr>
            <w:r>
              <w:rPr>
                <w:rFonts w:ascii="Times New Roman" w:cs="Times New Roman" w:eastAsia="Times New Roman" w:hAnsi="Times New Roman"/>
                <w:sz w:val="20"/>
                <w:szCs w:val="20"/>
                <w:color w:val="auto"/>
              </w:rPr>
              <w:t>107</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580" w:type="dxa"/>
            <w:vAlign w:val="bottom"/>
            <w:gridSpan w:val="21"/>
          </w:tcPr>
          <w:p>
            <w:pPr>
              <w:spacing w:after="0" w:line="216" w:lineRule="exact"/>
              <w:rPr>
                <w:sz w:val="20"/>
                <w:szCs w:val="20"/>
                <w:color w:val="auto"/>
              </w:rPr>
            </w:pPr>
            <w:r>
              <w:rPr>
                <w:rFonts w:ascii="Times New Roman" w:cs="Times New Roman" w:eastAsia="Times New Roman" w:hAnsi="Times New Roman"/>
                <w:sz w:val="20"/>
                <w:szCs w:val="20"/>
                <w:color w:val="0000EE"/>
              </w:rPr>
              <w:t>Filing Fee Table</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0">
                      <a:extLst>
                        <a:ext uri="{28A0092B-C50C-407E-A947-70E740481C1C}"/>
                      </a:extLst>
                    </a:blip>
                    <a:srcRect/>
                    <a:stretch>
                      <a:fillRect/>
                    </a:stretch>
                  </pic:blipFill>
                  <pic:spPr bwMode="auto">
                    <a:xfrm>
                      <a:off x="0" y="0"/>
                      <a:ext cx="7181850" cy="36830"/>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266700</wp:posOffset>
            </wp:positionV>
            <wp:extent cx="659828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1">
                      <a:extLst>
                        <a:ext uri="{28A0092B-C50C-407E-A947-70E740481C1C}"/>
                      </a:extLst>
                    </a:blip>
                    <a:srcRect/>
                    <a:stretch>
                      <a:fillRect/>
                    </a:stretch>
                  </pic:blipFill>
                  <pic:spPr bwMode="auto">
                    <a:xfrm>
                      <a:off x="0" y="0"/>
                      <a:ext cx="659828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5480" w:right="1420" w:hanging="5052"/>
        <w:spacing w:after="0" w:line="422" w:lineRule="auto"/>
        <w:tabs>
          <w:tab w:leader="none" w:pos="947"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be filed by amendment or incorporated by reference in connection with the offering of the securities. II-4</w:t>
      </w:r>
    </w:p>
    <w:p>
      <w:pPr>
        <w:sectPr>
          <w:pgSz w:w="11900" w:h="16838" w:orient="portrait"/>
          <w:cols w:equalWidth="0" w:num="1">
            <w:col w:w="10820"/>
          </w:cols>
          <w:pgMar w:left="320" w:top="428" w:right="7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2">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auto"/>
        </w:rPr>
        <w:t>Item 17. Undertakings</w:t>
      </w:r>
    </w:p>
    <w:p>
      <w:pPr>
        <w:spacing w:after="0" w:line="1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(a) The undersigned registrant hereby undertakes:</w:t>
      </w:r>
    </w:p>
    <w:p>
      <w:pPr>
        <w:spacing w:after="0" w:line="203" w:lineRule="exact"/>
        <w:rPr>
          <w:sz w:val="20"/>
          <w:szCs w:val="20"/>
          <w:color w:val="auto"/>
        </w:rPr>
      </w:pPr>
    </w:p>
    <w:p>
      <w:pPr>
        <w:ind w:left="420" w:right="800" w:firstLine="8"/>
        <w:spacing w:after="0" w:line="276" w:lineRule="auto"/>
        <w:tabs>
          <w:tab w:leader="none" w:pos="709"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file, during any period in which offers or sales are being made, a post-effective amendment to this registration statement:</w:t>
      </w:r>
    </w:p>
    <w:p>
      <w:pPr>
        <w:spacing w:after="0" w:line="133" w:lineRule="exact"/>
        <w:rPr>
          <w:sz w:val="20"/>
          <w:szCs w:val="20"/>
          <w:color w:val="auto"/>
        </w:rPr>
      </w:pPr>
    </w:p>
    <w:p>
      <w:pPr>
        <w:ind w:left="680" w:hanging="252"/>
        <w:spacing w:after="0"/>
        <w:tabs>
          <w:tab w:leader="none" w:pos="6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include any prospectus required by Section 10(a)(3) of the Securities Act of 1933;</w:t>
      </w:r>
    </w:p>
    <w:p>
      <w:pPr>
        <w:spacing w:after="0" w:line="202" w:lineRule="exact"/>
        <w:rPr>
          <w:rFonts w:ascii="Times New Roman" w:cs="Times New Roman" w:eastAsia="Times New Roman" w:hAnsi="Times New Roman"/>
          <w:sz w:val="20"/>
          <w:szCs w:val="20"/>
          <w:color w:val="auto"/>
        </w:rPr>
      </w:pPr>
    </w:p>
    <w:p>
      <w:pPr>
        <w:ind w:left="420" w:right="80" w:firstLine="8"/>
        <w:spacing w:after="0" w:line="244" w:lineRule="auto"/>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66" w:lineRule="exact"/>
        <w:rPr>
          <w:rFonts w:ascii="Times New Roman" w:cs="Times New Roman" w:eastAsia="Times New Roman" w:hAnsi="Times New Roman"/>
          <w:sz w:val="20"/>
          <w:szCs w:val="20"/>
          <w:color w:val="auto"/>
        </w:rPr>
      </w:pPr>
    </w:p>
    <w:p>
      <w:pPr>
        <w:ind w:left="420" w:right="340" w:firstLine="8"/>
        <w:spacing w:after="0" w:line="276" w:lineRule="auto"/>
        <w:tabs>
          <w:tab w:leader="none" w:pos="777"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include any material information with respect to the plan of distribution not previously disclosed in the registration statement or any material change to such information in the registration statement;</w:t>
      </w:r>
    </w:p>
    <w:p>
      <w:pPr>
        <w:spacing w:after="0" w:line="129" w:lineRule="exact"/>
        <w:rPr>
          <w:sz w:val="20"/>
          <w:szCs w:val="20"/>
          <w:color w:val="auto"/>
        </w:rPr>
      </w:pPr>
    </w:p>
    <w:p>
      <w:pPr>
        <w:ind w:left="420"/>
        <w:spacing w:after="0" w:line="249" w:lineRule="auto"/>
        <w:rPr>
          <w:sz w:val="20"/>
          <w:szCs w:val="20"/>
          <w:color w:val="auto"/>
        </w:rPr>
      </w:pP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paragraphs (a)(1)(i), (a)(1)(ii), and (a)(1)(iii) above do not apply if the information required to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161" w:lineRule="exact"/>
        <w:rPr>
          <w:sz w:val="20"/>
          <w:szCs w:val="20"/>
          <w:color w:val="auto"/>
        </w:rPr>
      </w:pPr>
    </w:p>
    <w:p>
      <w:pPr>
        <w:ind w:left="420" w:right="80" w:firstLine="8"/>
        <w:spacing w:after="0" w:line="257" w:lineRule="auto"/>
        <w:tabs>
          <w:tab w:leader="none" w:pos="709"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52" w:lineRule="exact"/>
        <w:rPr>
          <w:rFonts w:ascii="Times New Roman" w:cs="Times New Roman" w:eastAsia="Times New Roman" w:hAnsi="Times New Roman"/>
          <w:sz w:val="20"/>
          <w:szCs w:val="20"/>
          <w:color w:val="auto"/>
        </w:rPr>
      </w:pPr>
    </w:p>
    <w:p>
      <w:pPr>
        <w:ind w:left="420" w:right="160" w:firstLine="8"/>
        <w:spacing w:after="0" w:line="276" w:lineRule="auto"/>
        <w:tabs>
          <w:tab w:leader="none" w:pos="709"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remove from registration by means of a post-effective amendment any of the securities being registered which remain unsold at the termination of the offering.</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(5) That, for the purpose of determining liability under the Securities Act of 1933 to any purchaser:</w:t>
      </w:r>
    </w:p>
    <w:p>
      <w:pPr>
        <w:spacing w:after="0" w:line="203" w:lineRule="exact"/>
        <w:rPr>
          <w:sz w:val="20"/>
          <w:szCs w:val="20"/>
          <w:color w:val="auto"/>
        </w:rPr>
      </w:pPr>
    </w:p>
    <w:p>
      <w:pPr>
        <w:ind w:left="420" w:right="100" w:firstLine="8"/>
        <w:spacing w:after="0" w:line="276" w:lineRule="auto"/>
        <w:tabs>
          <w:tab w:leader="none" w:pos="754"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70"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20"/>
          <w:szCs w:val="20"/>
          <w:color w:val="auto"/>
        </w:rPr>
        <w:t>II-5</w:t>
      </w:r>
    </w:p>
    <w:p>
      <w:pPr>
        <w:sectPr>
          <w:pgSz w:w="11900" w:h="16838" w:orient="portrait"/>
          <w:cols w:equalWidth="0" w:num="1">
            <w:col w:w="10740"/>
          </w:cols>
          <w:pgMar w:left="320" w:top="437" w:right="8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3">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6" w:lineRule="exact"/>
        <w:rPr>
          <w:sz w:val="20"/>
          <w:szCs w:val="20"/>
          <w:color w:val="auto"/>
        </w:rPr>
      </w:pPr>
    </w:p>
    <w:p>
      <w:pPr>
        <w:ind w:left="420" w:firstLine="8"/>
        <w:spacing w:after="0" w:line="242" w:lineRule="auto"/>
        <w:tabs>
          <w:tab w:leader="none" w:pos="743"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00" w:lineRule="exact"/>
        <w:rPr>
          <w:sz w:val="20"/>
          <w:szCs w:val="20"/>
          <w:color w:val="auto"/>
        </w:rPr>
      </w:pPr>
    </w:p>
    <w:p>
      <w:pPr>
        <w:spacing w:after="0" w:line="201" w:lineRule="exact"/>
        <w:rPr>
          <w:sz w:val="20"/>
          <w:szCs w:val="20"/>
          <w:color w:val="auto"/>
        </w:rPr>
      </w:pPr>
    </w:p>
    <w:p>
      <w:pPr>
        <w:ind w:left="420" w:right="520" w:firstLine="8"/>
        <w:spacing w:after="0" w:line="276" w:lineRule="auto"/>
        <w:tabs>
          <w:tab w:leader="none" w:pos="709"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for the purpose of determining liability of the registrant under the Securities Act of 1933 to any purchaser in the initial distribution of the securities:</w:t>
      </w:r>
    </w:p>
    <w:p>
      <w:pPr>
        <w:spacing w:after="0" w:line="133" w:lineRule="exact"/>
        <w:rPr>
          <w:sz w:val="20"/>
          <w:szCs w:val="20"/>
          <w:color w:val="auto"/>
        </w:rPr>
      </w:pPr>
    </w:p>
    <w:p>
      <w:pPr>
        <w:ind w:left="420" w:right="100"/>
        <w:spacing w:after="0" w:line="251" w:lineRule="auto"/>
        <w:rPr>
          <w:sz w:val="20"/>
          <w:szCs w:val="20"/>
          <w:color w:val="auto"/>
        </w:rPr>
      </w:pPr>
      <w:r>
        <w:rPr>
          <w:rFonts w:ascii="Times New Roman" w:cs="Times New Roman" w:eastAsia="Times New Roman" w:hAnsi="Times New Roman"/>
          <w:sz w:val="20"/>
          <w:szCs w:val="20"/>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59" w:lineRule="exact"/>
        <w:rPr>
          <w:sz w:val="20"/>
          <w:szCs w:val="20"/>
          <w:color w:val="auto"/>
        </w:rPr>
      </w:pPr>
    </w:p>
    <w:p>
      <w:pPr>
        <w:ind w:left="420" w:right="100" w:firstLine="8"/>
        <w:spacing w:after="0" w:line="276" w:lineRule="auto"/>
        <w:tabs>
          <w:tab w:leader="none" w:pos="66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preliminary prospectus or prospectus of the undersigned registrant relating to the offering required to be filed pursuant to Rule 424;</w:t>
      </w:r>
    </w:p>
    <w:p>
      <w:pPr>
        <w:spacing w:after="0" w:line="133" w:lineRule="exact"/>
        <w:rPr>
          <w:rFonts w:ascii="Times New Roman" w:cs="Times New Roman" w:eastAsia="Times New Roman" w:hAnsi="Times New Roman"/>
          <w:sz w:val="20"/>
          <w:szCs w:val="20"/>
          <w:color w:val="auto"/>
        </w:rPr>
      </w:pPr>
    </w:p>
    <w:p>
      <w:pPr>
        <w:ind w:left="420" w:right="620" w:firstLine="8"/>
        <w:spacing w:after="0" w:line="276" w:lineRule="auto"/>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free writing prospectus relating to the offering prepared by or on behalf of the undersigned registrant or used or referred to by the undersigned registrant;</w:t>
      </w:r>
    </w:p>
    <w:p>
      <w:pPr>
        <w:spacing w:after="0" w:line="133" w:lineRule="exact"/>
        <w:rPr>
          <w:rFonts w:ascii="Times New Roman" w:cs="Times New Roman" w:eastAsia="Times New Roman" w:hAnsi="Times New Roman"/>
          <w:sz w:val="20"/>
          <w:szCs w:val="20"/>
          <w:color w:val="auto"/>
        </w:rPr>
      </w:pPr>
    </w:p>
    <w:p>
      <w:pPr>
        <w:ind w:left="420" w:right="780" w:firstLine="8"/>
        <w:spacing w:after="0" w:line="276" w:lineRule="auto"/>
        <w:tabs>
          <w:tab w:leader="none" w:pos="777"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portion of any other free writing prospectus relating to the offering containing material information about the undersigned registrant or its securities provided by or on behalf of the undersigned registrant; and</w:t>
      </w:r>
    </w:p>
    <w:p>
      <w:pPr>
        <w:spacing w:after="0" w:line="133" w:lineRule="exact"/>
        <w:rPr>
          <w:rFonts w:ascii="Times New Roman" w:cs="Times New Roman" w:eastAsia="Times New Roman" w:hAnsi="Times New Roman"/>
          <w:sz w:val="20"/>
          <w:szCs w:val="20"/>
          <w:color w:val="auto"/>
        </w:rPr>
      </w:pPr>
    </w:p>
    <w:p>
      <w:pPr>
        <w:ind w:left="780" w:hanging="352"/>
        <w:spacing w:after="0"/>
        <w:tabs>
          <w:tab w:leader="none" w:pos="7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communications that is an offer in the offering made by the undersigned registrant to the purchaser.</w:t>
      </w:r>
    </w:p>
    <w:p>
      <w:pPr>
        <w:spacing w:after="0" w:line="203" w:lineRule="exact"/>
        <w:rPr>
          <w:sz w:val="20"/>
          <w:szCs w:val="20"/>
          <w:color w:val="auto"/>
        </w:rPr>
      </w:pPr>
    </w:p>
    <w:p>
      <w:pPr>
        <w:ind w:left="420" w:right="140" w:firstLine="8"/>
        <w:spacing w:after="0" w:line="257" w:lineRule="auto"/>
        <w:tabs>
          <w:tab w:leader="none" w:pos="709"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w:t>
      </w:r>
    </w:p>
    <w:p>
      <w:pPr>
        <w:spacing w:after="0" w:line="8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0"/>
          <w:szCs w:val="20"/>
          <w:color w:val="auto"/>
        </w:rPr>
        <w:t>II-6</w:t>
      </w:r>
    </w:p>
    <w:p>
      <w:pPr>
        <w:sectPr>
          <w:pgSz w:w="11900" w:h="16838" w:orient="portrait"/>
          <w:cols w:equalWidth="0" w:num="1">
            <w:col w:w="10820"/>
          </w:cols>
          <w:pgMar w:left="320" w:top="437" w:right="7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4">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6" w:lineRule="exact"/>
        <w:rPr>
          <w:sz w:val="20"/>
          <w:szCs w:val="20"/>
          <w:color w:val="auto"/>
        </w:rPr>
      </w:pPr>
    </w:p>
    <w:p>
      <w:pPr>
        <w:jc w:val="both"/>
        <w:ind w:left="420" w:right="320"/>
        <w:spacing w:after="0" w:line="257" w:lineRule="auto"/>
        <w:rPr>
          <w:sz w:val="20"/>
          <w:szCs w:val="20"/>
          <w:color w:val="auto"/>
        </w:rPr>
      </w:pPr>
      <w:r>
        <w:rPr>
          <w:rFonts w:ascii="Times New Roman" w:cs="Times New Roman" w:eastAsia="Times New Roman" w:hAnsi="Times New Roman"/>
          <w:sz w:val="20"/>
          <w:szCs w:val="20"/>
          <w:color w:val="auto"/>
        </w:rPr>
        <w:t xml:space="preserve">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offering thereof.</w:t>
      </w:r>
    </w:p>
    <w:p>
      <w:pPr>
        <w:spacing w:after="0" w:line="153" w:lineRule="exact"/>
        <w:rPr>
          <w:sz w:val="20"/>
          <w:szCs w:val="20"/>
          <w:color w:val="auto"/>
        </w:rPr>
      </w:pPr>
    </w:p>
    <w:p>
      <w:pPr>
        <w:ind w:left="420" w:firstLine="8"/>
        <w:spacing w:after="0" w:line="243" w:lineRule="auto"/>
        <w:tabs>
          <w:tab w:leader="none" w:pos="709"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1" w:lineRule="exact"/>
        <w:rPr>
          <w:sz w:val="20"/>
          <w:szCs w:val="20"/>
          <w:color w:val="auto"/>
        </w:rPr>
      </w:pPr>
    </w:p>
    <w:p>
      <w:pPr>
        <w:ind w:left="420" w:right="420" w:firstLine="8"/>
        <w:spacing w:after="0" w:line="257" w:lineRule="auto"/>
        <w:tabs>
          <w:tab w:leader="none" w:pos="663"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registrant hereby undertakes to file an application for the purpose of determining the eligibility of the trustee to act under subsection (a) of Section 310 of the Trust Indenture Act (the “Act”) in accordance with the rules and regulations prescribed by the SEC under section 305(b)(2) of the Act.</w:t>
      </w:r>
    </w:p>
    <w:p>
      <w:pPr>
        <w:spacing w:after="0" w:line="8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20"/>
          <w:szCs w:val="20"/>
          <w:color w:val="auto"/>
        </w:rPr>
        <w:t>II-7</w:t>
      </w:r>
    </w:p>
    <w:p>
      <w:pPr>
        <w:sectPr>
          <w:pgSz w:w="11900" w:h="16838" w:orient="portrait"/>
          <w:cols w:equalWidth="0" w:num="1">
            <w:col w:w="10760"/>
          </w:cols>
          <w:pgMar w:left="320" w:top="437" w:right="8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5">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07" w:lineRule="exact"/>
        <w:rPr>
          <w:sz w:val="20"/>
          <w:szCs w:val="20"/>
          <w:color w:val="auto"/>
        </w:rPr>
      </w:pPr>
    </w:p>
    <w:p>
      <w:pPr>
        <w:ind w:left="420"/>
        <w:spacing w:after="0" w:line="253" w:lineRule="auto"/>
        <w:rPr>
          <w:sz w:val="20"/>
          <w:szCs w:val="20"/>
          <w:color w:val="auto"/>
        </w:rPr>
      </w:pPr>
      <w:r>
        <w:rPr>
          <w:rFonts w:ascii="Times New Roman" w:cs="Times New Roman" w:eastAsia="Times New Roman" w:hAnsi="Times New Roman"/>
          <w:sz w:val="20"/>
          <w:szCs w:val="20"/>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Lexington, Massachusetts, on the 19th day of July, 2024.</w:t>
      </w:r>
    </w:p>
    <w:p>
      <w:pPr>
        <w:spacing w:after="0" w:line="200" w:lineRule="exact"/>
        <w:rPr>
          <w:sz w:val="20"/>
          <w:szCs w:val="20"/>
          <w:color w:val="auto"/>
        </w:rPr>
      </w:pPr>
    </w:p>
    <w:p>
      <w:pPr>
        <w:spacing w:after="0" w:line="215"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20"/>
          <w:szCs w:val="20"/>
          <w:b w:val="1"/>
          <w:bCs w:val="1"/>
          <w:color w:val="auto"/>
        </w:rPr>
        <w:t>T2 BIOSYSTEMS, INC.</w:t>
      </w:r>
    </w:p>
    <w:p>
      <w:pPr>
        <w:spacing w:after="0" w:line="20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20"/>
          <w:szCs w:val="20"/>
          <w:color w:val="auto"/>
        </w:rPr>
        <w:t>By: /s/ John Sperzel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4448810</wp:posOffset>
            </wp:positionH>
            <wp:positionV relativeFrom="paragraph">
              <wp:posOffset>15240</wp:posOffset>
            </wp:positionV>
            <wp:extent cx="24257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3"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20"/>
          <w:szCs w:val="20"/>
          <w:color w:val="auto"/>
        </w:rPr>
        <w:t>John Sperzel</w:t>
      </w:r>
    </w:p>
    <w:p>
      <w:pPr>
        <w:ind w:left="706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38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07" w:lineRule="exact"/>
        <w:rPr>
          <w:sz w:val="20"/>
          <w:szCs w:val="20"/>
          <w:color w:val="auto"/>
        </w:rPr>
      </w:pPr>
    </w:p>
    <w:p>
      <w:pPr>
        <w:ind w:left="420"/>
        <w:spacing w:after="0" w:line="243" w:lineRule="auto"/>
        <w:rPr>
          <w:sz w:val="20"/>
          <w:szCs w:val="20"/>
          <w:color w:val="auto"/>
        </w:rPr>
      </w:pPr>
      <w:r>
        <w:rPr>
          <w:rFonts w:ascii="Times New Roman" w:cs="Times New Roman" w:eastAsia="Times New Roman" w:hAnsi="Times New Roman"/>
          <w:sz w:val="20"/>
          <w:szCs w:val="20"/>
          <w:color w:val="auto"/>
        </w:rPr>
        <w:t>KNOW ALL PERSONS BY THESE PRESENTS, that each person whose signature appears below constitutes and appoints John Sperzel, John M. Sprague and Michael T. Gibbs, or either of them, as his or her true and lawful attorneys-in-fact and agents, with full power of substitution and resubstitution, for him or her and in his or her name, place and stead, in any and all capacities, to file and sign any and all amendments, including post-effective amendments and any registration statement for the same offering that is to be effective under Rule 462(b) of the Securities Act, to this registration statement, with the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spacing w:after="0" w:line="167" w:lineRule="exact"/>
        <w:rPr>
          <w:sz w:val="20"/>
          <w:szCs w:val="20"/>
          <w:color w:val="auto"/>
        </w:rPr>
      </w:pPr>
    </w:p>
    <w:p>
      <w:pPr>
        <w:ind w:left="420" w:right="200"/>
        <w:spacing w:after="0" w:line="276" w:lineRule="auto"/>
        <w:rPr>
          <w:sz w:val="20"/>
          <w:szCs w:val="20"/>
          <w:color w:val="auto"/>
        </w:rPr>
      </w:pPr>
      <w:r>
        <w:rPr>
          <w:rFonts w:ascii="Times New Roman" w:cs="Times New Roman" w:eastAsia="Times New Roman" w:hAnsi="Times New Roman"/>
          <w:sz w:val="20"/>
          <w:szCs w:val="20"/>
          <w:color w:val="auto"/>
        </w:rPr>
        <w:t>Pursuant to the requirements of the Securities Act of 1933, as amended, this registration statement has been signed below by the following persons on behalf of the registrant in the capacities and on the dates indicated.</w:t>
      </w:r>
    </w:p>
    <w:p>
      <w:pPr>
        <w:sectPr>
          <w:pgSz w:w="11900" w:h="16838" w:orient="portrait"/>
          <w:cols w:equalWidth="0" w:num="1">
            <w:col w:w="10780"/>
          </w:cols>
          <w:pgMar w:left="320" w:top="437" w:right="799" w:bottom="1440" w:gutter="0" w:footer="0" w:header="0"/>
        </w:sectPr>
      </w:pPr>
    </w:p>
    <w:p>
      <w:pPr>
        <w:spacing w:after="0" w:line="155" w:lineRule="exact"/>
        <w:rPr>
          <w:sz w:val="20"/>
          <w:szCs w:val="20"/>
          <w:color w:val="auto"/>
        </w:rPr>
      </w:pPr>
    </w:p>
    <w:tbl>
      <w:tblPr>
        <w:tblLayout w:type="fixed"/>
        <w:tblInd w:w="420" w:type="dxa"/>
        <w:tblCellMar>
          <w:top w:w="0" w:type="dxa"/>
          <w:left w:w="0" w:type="dxa"/>
          <w:bottom w:w="0" w:type="dxa"/>
          <w:right w:w="0" w:type="dxa"/>
        </w:tblCellMar>
      </w:tblPr>
      <w:tr>
        <w:trPr>
          <w:trHeight w:val="270"/>
        </w:trPr>
        <w:tc>
          <w:tcPr>
            <w:tcW w:w="20" w:type="dxa"/>
            <w:vAlign w:val="bottom"/>
          </w:tcPr>
          <w:p>
            <w:pPr>
              <w:spacing w:after="0"/>
              <w:rPr>
                <w:sz w:val="23"/>
                <w:szCs w:val="23"/>
                <w:color w:val="auto"/>
              </w:rPr>
            </w:pPr>
          </w:p>
        </w:tc>
        <w:tc>
          <w:tcPr>
            <w:tcW w:w="468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20"/>
                <w:szCs w:val="20"/>
                <w:b w:val="1"/>
                <w:bCs w:val="1"/>
                <w:color w:val="auto"/>
              </w:rPr>
              <w:t>Signature</w:t>
            </w:r>
          </w:p>
        </w:tc>
        <w:tc>
          <w:tcPr>
            <w:tcW w:w="120" w:type="dxa"/>
            <w:vAlign w:val="bottom"/>
          </w:tcPr>
          <w:p>
            <w:pPr>
              <w:spacing w:after="0"/>
              <w:rPr>
                <w:sz w:val="23"/>
                <w:szCs w:val="23"/>
                <w:color w:val="auto"/>
              </w:rPr>
            </w:pPr>
          </w:p>
        </w:tc>
        <w:tc>
          <w:tcPr>
            <w:tcW w:w="362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20"/>
                <w:szCs w:val="20"/>
                <w:b w:val="1"/>
                <w:bCs w:val="1"/>
                <w:color w:val="auto"/>
              </w:rPr>
              <w:t>Title</w:t>
            </w:r>
          </w:p>
        </w:tc>
      </w:tr>
      <w:tr>
        <w:trPr>
          <w:trHeight w:val="414"/>
        </w:trPr>
        <w:tc>
          <w:tcPr>
            <w:tcW w:w="4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 John Sperzel</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President, Chief Executive Officer and</w:t>
            </w:r>
          </w:p>
        </w:tc>
      </w:tr>
      <w:tr>
        <w:trPr>
          <w:trHeight w:val="258"/>
        </w:trPr>
        <w:tc>
          <w:tcPr>
            <w:tcW w:w="4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John Sperzel</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Director (principal executive officer)</w:t>
            </w:r>
          </w:p>
        </w:tc>
      </w:tr>
      <w:tr>
        <w:trPr>
          <w:trHeight w:val="409"/>
        </w:trPr>
        <w:tc>
          <w:tcPr>
            <w:tcW w:w="4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 John M. Sprague</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Chief Financial Officer (principal financial</w:t>
            </w:r>
          </w:p>
        </w:tc>
      </w:tr>
      <w:tr>
        <w:trPr>
          <w:trHeight w:val="258"/>
        </w:trPr>
        <w:tc>
          <w:tcPr>
            <w:tcW w:w="4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John M. Sprague</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and accounting officer)</w:t>
            </w:r>
          </w:p>
        </w:tc>
      </w:tr>
      <w:tr>
        <w:trPr>
          <w:trHeight w:val="357"/>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II-8</w:t>
            </w:r>
          </w:p>
        </w:tc>
      </w:tr>
    </w:tbl>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26035</wp:posOffset>
            </wp:positionV>
            <wp:extent cx="11156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7">
                      <a:extLst>
                        <a:ext uri="{28A0092B-C50C-407E-A947-70E740481C1C}"/>
                      </a:extLst>
                    </a:blip>
                    <a:srcRect/>
                    <a:stretch>
                      <a:fillRect/>
                    </a:stretch>
                  </pic:blipFill>
                  <pic:spPr bwMode="auto">
                    <a:xfrm>
                      <a:off x="0" y="0"/>
                      <a:ext cx="1115695" cy="825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July 19, 2024</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July 19, 2024</w:t>
      </w:r>
    </w:p>
    <w:p>
      <w:pPr>
        <w:sectPr>
          <w:pgSz w:w="11900" w:h="16838" w:orient="portrait"/>
          <w:cols w:equalWidth="0" w:num="2">
            <w:col w:w="8860" w:space="520"/>
            <w:col w:w="1400"/>
          </w:cols>
          <w:pgMar w:left="320" w:top="437" w:right="79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/s/ Laura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15240</wp:posOffset>
            </wp:positionV>
            <wp:extent cx="297561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8">
                      <a:extLst>
                        <a:ext uri="{28A0092B-C50C-407E-A947-70E740481C1C}"/>
                      </a:extLst>
                    </a:blip>
                    <a:srcRect/>
                    <a:stretch>
                      <a:fillRect/>
                    </a:stretch>
                  </pic:blipFill>
                  <pic:spPr bwMode="auto">
                    <a:xfrm>
                      <a:off x="0" y="0"/>
                      <a:ext cx="2975610" cy="8255"/>
                    </a:xfrm>
                    <a:prstGeom prst="rect">
                      <a:avLst/>
                    </a:prstGeom>
                    <a:noFill/>
                  </pic:spPr>
                </pic:pic>
              </a:graphicData>
            </a:graphic>
          </wp:anchor>
        </w:drawing>
      </w:r>
    </w:p>
    <w:p>
      <w:pPr>
        <w:spacing w:after="0" w:line="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Laura Adams</w:t>
      </w:r>
    </w:p>
    <w:p>
      <w:pPr>
        <w:spacing w:after="0" w:line="1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/s/ John W. Cumming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15240</wp:posOffset>
            </wp:positionV>
            <wp:extent cx="297561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9">
                      <a:extLst>
                        <a:ext uri="{28A0092B-C50C-407E-A947-70E740481C1C}"/>
                      </a:extLst>
                    </a:blip>
                    <a:srcRect/>
                    <a:stretch>
                      <a:fillRect/>
                    </a:stretch>
                  </pic:blipFill>
                  <pic:spPr bwMode="auto">
                    <a:xfrm>
                      <a:off x="0" y="0"/>
                      <a:ext cx="2975610" cy="8255"/>
                    </a:xfrm>
                    <a:prstGeom prst="rect">
                      <a:avLst/>
                    </a:prstGeom>
                    <a:noFill/>
                  </pic:spPr>
                </pic:pic>
              </a:graphicData>
            </a:graphic>
          </wp:anchor>
        </w:drawing>
      </w:r>
    </w:p>
    <w:p>
      <w:pPr>
        <w:spacing w:after="0" w:line="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John W. Cumming</w:t>
      </w:r>
    </w:p>
    <w:p>
      <w:pPr>
        <w:spacing w:after="0" w:line="1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/s/ David Elsbree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15240</wp:posOffset>
            </wp:positionV>
            <wp:extent cx="29756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0">
                      <a:extLst>
                        <a:ext uri="{28A0092B-C50C-407E-A947-70E740481C1C}"/>
                      </a:extLst>
                    </a:blip>
                    <a:srcRect/>
                    <a:stretch>
                      <a:fillRect/>
                    </a:stretch>
                  </pic:blipFill>
                  <pic:spPr bwMode="auto">
                    <a:xfrm>
                      <a:off x="0" y="0"/>
                      <a:ext cx="2975610" cy="8255"/>
                    </a:xfrm>
                    <a:prstGeom prst="rect">
                      <a:avLst/>
                    </a:prstGeom>
                    <a:noFill/>
                  </pic:spPr>
                </pic:pic>
              </a:graphicData>
            </a:graphic>
          </wp:anchor>
        </w:drawing>
      </w:r>
    </w:p>
    <w:p>
      <w:pPr>
        <w:spacing w:after="0" w:line="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David Elsbree</w:t>
      </w:r>
    </w:p>
    <w:p>
      <w:pPr>
        <w:spacing w:after="0" w:line="1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/s/ Seymour Liebman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15240</wp:posOffset>
            </wp:positionV>
            <wp:extent cx="297561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1">
                      <a:extLst>
                        <a:ext uri="{28A0092B-C50C-407E-A947-70E740481C1C}"/>
                      </a:extLst>
                    </a:blip>
                    <a:srcRect/>
                    <a:stretch>
                      <a:fillRect/>
                    </a:stretch>
                  </pic:blipFill>
                  <pic:spPr bwMode="auto">
                    <a:xfrm>
                      <a:off x="0" y="0"/>
                      <a:ext cx="2975610" cy="8255"/>
                    </a:xfrm>
                    <a:prstGeom prst="rect">
                      <a:avLst/>
                    </a:prstGeom>
                    <a:noFill/>
                  </pic:spPr>
                </pic:pic>
              </a:graphicData>
            </a:graphic>
          </wp:anchor>
        </w:drawing>
      </w:r>
    </w:p>
    <w:p>
      <w:pPr>
        <w:spacing w:after="0" w:line="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Seymour Liebman</w:t>
      </w:r>
    </w:p>
    <w:p>
      <w:pPr>
        <w:spacing w:after="0" w:line="1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/s/ Dr. Ninfa M. Saunders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15240</wp:posOffset>
            </wp:positionV>
            <wp:extent cx="297561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2">
                      <a:extLst>
                        <a:ext uri="{28A0092B-C50C-407E-A947-70E740481C1C}"/>
                      </a:extLst>
                    </a:blip>
                    <a:srcRect/>
                    <a:stretch>
                      <a:fillRect/>
                    </a:stretch>
                  </pic:blipFill>
                  <pic:spPr bwMode="auto">
                    <a:xfrm>
                      <a:off x="0" y="0"/>
                      <a:ext cx="2975610" cy="8255"/>
                    </a:xfrm>
                    <a:prstGeom prst="rect">
                      <a:avLst/>
                    </a:prstGeom>
                    <a:noFill/>
                  </pic:spPr>
                </pic:pic>
              </a:graphicData>
            </a:graphic>
          </wp:anchor>
        </w:drawing>
      </w:r>
    </w:p>
    <w:p>
      <w:pPr>
        <w:spacing w:after="0" w:line="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Dr. Ninfa M. Saunders</w:t>
      </w:r>
    </w:p>
    <w:p>
      <w:pPr>
        <w:spacing w:after="0" w:line="1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/s/ Robin Toft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15240</wp:posOffset>
            </wp:positionV>
            <wp:extent cx="29756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3">
                      <a:extLst>
                        <a:ext uri="{28A0092B-C50C-407E-A947-70E740481C1C}"/>
                      </a:extLst>
                    </a:blip>
                    <a:srcRect/>
                    <a:stretch>
                      <a:fillRect/>
                    </a:stretch>
                  </pic:blipFill>
                  <pic:spPr bwMode="auto">
                    <a:xfrm>
                      <a:off x="0" y="0"/>
                      <a:ext cx="2975610" cy="8255"/>
                    </a:xfrm>
                    <a:prstGeom prst="rect">
                      <a:avLst/>
                    </a:prstGeom>
                    <a:noFill/>
                  </pic:spPr>
                </pic:pic>
              </a:graphicData>
            </a:graphic>
          </wp:anchor>
        </w:drawing>
      </w:r>
    </w:p>
    <w:p>
      <w:pPr>
        <w:spacing w:after="0" w:line="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Robin Toft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242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860" w:type="dxa"/>
            <w:vAlign w:val="bottom"/>
          </w:tcPr>
          <w:p>
            <w:pPr>
              <w:ind w:left="1740"/>
              <w:spacing w:after="0"/>
              <w:rPr>
                <w:sz w:val="20"/>
                <w:szCs w:val="20"/>
                <w:color w:val="auto"/>
              </w:rPr>
            </w:pPr>
            <w:r>
              <w:rPr>
                <w:rFonts w:ascii="Times New Roman" w:cs="Times New Roman" w:eastAsia="Times New Roman" w:hAnsi="Times New Roman"/>
                <w:sz w:val="20"/>
                <w:szCs w:val="20"/>
                <w:color w:val="auto"/>
              </w:rPr>
              <w:t>July 19, 2024</w:t>
            </w:r>
          </w:p>
        </w:tc>
      </w:tr>
      <w:tr>
        <w:trPr>
          <w:trHeight w:val="688"/>
        </w:trPr>
        <w:tc>
          <w:tcPr>
            <w:tcW w:w="242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860" w:type="dxa"/>
            <w:vAlign w:val="bottom"/>
          </w:tcPr>
          <w:p>
            <w:pPr>
              <w:ind w:left="1740"/>
              <w:spacing w:after="0"/>
              <w:rPr>
                <w:sz w:val="20"/>
                <w:szCs w:val="20"/>
                <w:color w:val="auto"/>
              </w:rPr>
            </w:pPr>
            <w:r>
              <w:rPr>
                <w:rFonts w:ascii="Times New Roman" w:cs="Times New Roman" w:eastAsia="Times New Roman" w:hAnsi="Times New Roman"/>
                <w:sz w:val="20"/>
                <w:szCs w:val="20"/>
                <w:color w:val="auto"/>
              </w:rPr>
              <w:t>July 19, 2024</w:t>
            </w:r>
          </w:p>
        </w:tc>
      </w:tr>
      <w:tr>
        <w:trPr>
          <w:trHeight w:val="688"/>
        </w:trPr>
        <w:tc>
          <w:tcPr>
            <w:tcW w:w="242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860" w:type="dxa"/>
            <w:vAlign w:val="bottom"/>
          </w:tcPr>
          <w:p>
            <w:pPr>
              <w:ind w:left="1740"/>
              <w:spacing w:after="0"/>
              <w:rPr>
                <w:sz w:val="20"/>
                <w:szCs w:val="20"/>
                <w:color w:val="auto"/>
              </w:rPr>
            </w:pPr>
            <w:r>
              <w:rPr>
                <w:rFonts w:ascii="Times New Roman" w:cs="Times New Roman" w:eastAsia="Times New Roman" w:hAnsi="Times New Roman"/>
                <w:sz w:val="20"/>
                <w:szCs w:val="20"/>
                <w:color w:val="auto"/>
              </w:rPr>
              <w:t>July 19, 2024</w:t>
            </w:r>
          </w:p>
        </w:tc>
      </w:tr>
      <w:tr>
        <w:trPr>
          <w:trHeight w:val="688"/>
        </w:trPr>
        <w:tc>
          <w:tcPr>
            <w:tcW w:w="242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860" w:type="dxa"/>
            <w:vAlign w:val="bottom"/>
          </w:tcPr>
          <w:p>
            <w:pPr>
              <w:ind w:left="1740"/>
              <w:spacing w:after="0"/>
              <w:rPr>
                <w:sz w:val="20"/>
                <w:szCs w:val="20"/>
                <w:color w:val="auto"/>
              </w:rPr>
            </w:pPr>
            <w:r>
              <w:rPr>
                <w:rFonts w:ascii="Times New Roman" w:cs="Times New Roman" w:eastAsia="Times New Roman" w:hAnsi="Times New Roman"/>
                <w:sz w:val="20"/>
                <w:szCs w:val="20"/>
                <w:color w:val="auto"/>
              </w:rPr>
              <w:t>July 19, 2024</w:t>
            </w:r>
          </w:p>
        </w:tc>
      </w:tr>
      <w:tr>
        <w:trPr>
          <w:trHeight w:val="688"/>
        </w:trPr>
        <w:tc>
          <w:tcPr>
            <w:tcW w:w="242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860" w:type="dxa"/>
            <w:vAlign w:val="bottom"/>
          </w:tcPr>
          <w:p>
            <w:pPr>
              <w:ind w:left="1740"/>
              <w:spacing w:after="0"/>
              <w:rPr>
                <w:sz w:val="20"/>
                <w:szCs w:val="20"/>
                <w:color w:val="auto"/>
              </w:rPr>
            </w:pPr>
            <w:r>
              <w:rPr>
                <w:rFonts w:ascii="Times New Roman" w:cs="Times New Roman" w:eastAsia="Times New Roman" w:hAnsi="Times New Roman"/>
                <w:sz w:val="20"/>
                <w:szCs w:val="20"/>
                <w:color w:val="auto"/>
              </w:rPr>
              <w:t>July 19, 2024</w:t>
            </w:r>
          </w:p>
        </w:tc>
      </w:tr>
      <w:tr>
        <w:trPr>
          <w:trHeight w:val="688"/>
        </w:trPr>
        <w:tc>
          <w:tcPr>
            <w:tcW w:w="242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860" w:type="dxa"/>
            <w:vAlign w:val="bottom"/>
          </w:tcPr>
          <w:p>
            <w:pPr>
              <w:ind w:left="1740"/>
              <w:spacing w:after="0"/>
              <w:rPr>
                <w:sz w:val="20"/>
                <w:szCs w:val="20"/>
                <w:color w:val="auto"/>
              </w:rPr>
            </w:pPr>
            <w:r>
              <w:rPr>
                <w:rFonts w:ascii="Times New Roman" w:cs="Times New Roman" w:eastAsia="Times New Roman" w:hAnsi="Times New Roman"/>
                <w:sz w:val="20"/>
                <w:szCs w:val="20"/>
                <w:color w:val="auto"/>
              </w:rPr>
              <w:t>July 19, 2024</w:t>
            </w:r>
          </w:p>
        </w:tc>
      </w:tr>
      <w:tr>
        <w:trPr>
          <w:trHeight w:val="497"/>
        </w:trPr>
        <w:tc>
          <w:tcPr>
            <w:tcW w:w="24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II-9</w:t>
            </w:r>
          </w:p>
        </w:tc>
        <w:tc>
          <w:tcPr>
            <w:tcW w:w="28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-3325495</wp:posOffset>
            </wp:positionH>
            <wp:positionV relativeFrom="paragraph">
              <wp:posOffset>-3248660</wp:posOffset>
            </wp:positionV>
            <wp:extent cx="718185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p>
    <w:p>
      <w:pPr>
        <w:sectPr>
          <w:pgSz w:w="11900" w:h="16838" w:orient="portrait"/>
          <w:cols w:equalWidth="0" w:num="2">
            <w:col w:w="4500" w:space="720"/>
            <w:col w:w="5280"/>
          </w:cols>
          <w:pgMar w:left="320" w:top="437" w:right="107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7"/>
          <w:szCs w:val="17"/>
          <w:b w:val="1"/>
          <w:bCs w:val="1"/>
          <w:color w:val="auto"/>
        </w:rPr>
        <w:t>Exhibit 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AT THE MARKET OFFERING AGREEMENT</w:t>
      </w:r>
    </w:p>
    <w:p>
      <w:pPr>
        <w:spacing w:after="0" w:line="216"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7"/>
          <w:szCs w:val="17"/>
          <w:color w:val="auto"/>
        </w:rPr>
        <w:t>July 19,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H.C. Wainwright &amp; Co., LLC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430 Park Avenue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 10022</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T2 Biosystems, Inc., a corporation organized under the laws of Delaware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confirms its agreement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with H.C.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Wainwright &amp; Co., LLC (the “</w:t>
      </w:r>
      <w:r>
        <w:rPr>
          <w:rFonts w:ascii="Times New Roman" w:cs="Times New Roman" w:eastAsia="Times New Roman" w:hAnsi="Times New Roman"/>
          <w:sz w:val="17"/>
          <w:szCs w:val="17"/>
          <w:u w:val="single" w:color="auto"/>
          <w:color w:val="auto"/>
        </w:rPr>
        <w:t>Manager</w:t>
      </w:r>
      <w:r>
        <w:rPr>
          <w:rFonts w:ascii="Times New Roman" w:cs="Times New Roman" w:eastAsia="Times New Roman" w:hAnsi="Times New Roman"/>
          <w:sz w:val="17"/>
          <w:szCs w:val="17"/>
          <w:color w:val="auto"/>
        </w:rPr>
        <w:t>”) as follows:</w:t>
      </w:r>
    </w:p>
    <w:p>
      <w:pPr>
        <w:spacing w:after="0" w:line="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1. </w:t>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The terms that follow, when used in this Agreement and any Terms Agreement, shall have the meanings indicated.</w:t>
      </w:r>
    </w:p>
    <w:p>
      <w:pPr>
        <w:spacing w:after="0" w:line="21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Accountants</w:t>
      </w:r>
      <w:r>
        <w:rPr>
          <w:rFonts w:ascii="Times New Roman" w:cs="Times New Roman" w:eastAsia="Times New Roman" w:hAnsi="Times New Roman"/>
          <w:sz w:val="17"/>
          <w:szCs w:val="17"/>
          <w:color w:val="auto"/>
        </w:rPr>
        <w:t>” shall have the meaning ascribed to such term in Section 4(m).</w:t>
      </w:r>
    </w:p>
    <w:p>
      <w:pPr>
        <w:spacing w:after="0" w:line="11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Act</w:t>
      </w:r>
      <w:r>
        <w:rPr>
          <w:rFonts w:ascii="Times New Roman" w:cs="Times New Roman" w:eastAsia="Times New Roman" w:hAnsi="Times New Roman"/>
          <w:sz w:val="17"/>
          <w:szCs w:val="17"/>
          <w:color w:val="auto"/>
        </w:rPr>
        <w:t>” shall mean the Securities Act of 1933, as amended, and the rules and regulations of the Commission promulgated thereunder.</w:t>
      </w:r>
    </w:p>
    <w:p>
      <w:pPr>
        <w:spacing w:after="0" w:line="11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Action</w:t>
      </w:r>
      <w:r>
        <w:rPr>
          <w:rFonts w:ascii="Times New Roman" w:cs="Times New Roman" w:eastAsia="Times New Roman" w:hAnsi="Times New Roman"/>
          <w:sz w:val="17"/>
          <w:szCs w:val="17"/>
          <w:color w:val="auto"/>
        </w:rPr>
        <w:t>” shall have the meaning ascribed to such term in Section 3(p).</w:t>
      </w:r>
    </w:p>
    <w:p>
      <w:pPr>
        <w:spacing w:after="0" w:line="11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shall have the meaning ascribed to such term in Section 3(o).</w:t>
      </w:r>
    </w:p>
    <w:p>
      <w:pPr>
        <w:spacing w:after="0" w:line="110" w:lineRule="exact"/>
        <w:rPr>
          <w:sz w:val="20"/>
          <w:szCs w:val="20"/>
          <w:color w:val="auto"/>
        </w:rPr>
      </w:pPr>
    </w:p>
    <w:p>
      <w:pPr>
        <w:ind w:left="420" w:right="80" w:firstLine="399"/>
        <w:spacing w:after="0" w:line="27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Applicable Time</w:t>
      </w:r>
      <w:r>
        <w:rPr>
          <w:rFonts w:ascii="Times New Roman" w:cs="Times New Roman" w:eastAsia="Times New Roman" w:hAnsi="Times New Roman"/>
          <w:sz w:val="17"/>
          <w:szCs w:val="17"/>
          <w:color w:val="auto"/>
        </w:rPr>
        <w:t>” shall mean, with respect to any Shares, the time of sale of such Shares pursuant to this Agreement or any relevant Terms Agreement.</w:t>
      </w:r>
    </w:p>
    <w:p>
      <w:pPr>
        <w:spacing w:after="0" w:line="55" w:lineRule="exact"/>
        <w:rPr>
          <w:sz w:val="20"/>
          <w:szCs w:val="20"/>
          <w:color w:val="auto"/>
        </w:rPr>
      </w:pPr>
    </w:p>
    <w:p>
      <w:pPr>
        <w:ind w:left="420" w:right="700" w:firstLine="399"/>
        <w:spacing w:after="0" w:line="27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ATM Prospectus</w:t>
      </w:r>
      <w:r>
        <w:rPr>
          <w:rFonts w:ascii="Times New Roman" w:cs="Times New Roman" w:eastAsia="Times New Roman" w:hAnsi="Times New Roman"/>
          <w:sz w:val="17"/>
          <w:szCs w:val="17"/>
          <w:color w:val="auto"/>
        </w:rPr>
        <w:t>” shall mean the prospectus specifically relating to the offer and sale of shares of Common Stock pursuant to this Agreement included with the Base Prospectus, and included as part of the Registration Statement at the Effective Date.</w:t>
      </w:r>
    </w:p>
    <w:p>
      <w:pPr>
        <w:spacing w:after="0" w:line="5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Base Prospectus</w:t>
      </w:r>
      <w:r>
        <w:rPr>
          <w:rFonts w:ascii="Times New Roman" w:cs="Times New Roman" w:eastAsia="Times New Roman" w:hAnsi="Times New Roman"/>
          <w:sz w:val="17"/>
          <w:szCs w:val="17"/>
          <w:color w:val="auto"/>
        </w:rPr>
        <w:t>” shall mean the base prospectus contained in the Registration Statement at the Effective Date.</w:t>
      </w:r>
    </w:p>
    <w:p>
      <w:pPr>
        <w:spacing w:after="0" w:line="11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shall have the meaning ascribed to such term in Section 2(b)(iii).</w:t>
      </w:r>
    </w:p>
    <w:p>
      <w:pPr>
        <w:spacing w:after="0" w:line="11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Broker Fee</w:t>
      </w:r>
      <w:r>
        <w:rPr>
          <w:rFonts w:ascii="Times New Roman" w:cs="Times New Roman" w:eastAsia="Times New Roman" w:hAnsi="Times New Roman"/>
          <w:sz w:val="17"/>
          <w:szCs w:val="17"/>
          <w:color w:val="auto"/>
        </w:rPr>
        <w:t>” shall have the meaning ascribed to such term in Section 2(b)(v).</w:t>
      </w:r>
    </w:p>
    <w:p>
      <w:pPr>
        <w:sectPr>
          <w:pgSz w:w="11900" w:h="16838" w:orient="portrait"/>
          <w:cols w:equalWidth="0" w:num="1">
            <w:col w:w="10400"/>
          </w:cols>
          <w:pgMar w:left="740" w:top="119" w:right="759" w:bottom="1440" w:gutter="0" w:footer="0" w:header="0"/>
        </w:sectPr>
      </w:pPr>
    </w:p>
    <w:bookmarkStart w:id="71" w:name="page72"/>
    <w:bookmarkEnd w:id="71"/>
    <w:p>
      <w:pPr>
        <w:ind w:right="120" w:firstLine="399"/>
        <w:spacing w:after="0" w:line="27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5">
                      <a:extLst>
                        <a:ext uri="{28A0092B-C50C-407E-A947-70E740481C1C}"/>
                      </a:extLst>
                    </a:blip>
                    <a:srcRect/>
                    <a:stretch>
                      <a:fillRect/>
                    </a:stretch>
                  </pic:blipFill>
                  <pic:spPr bwMode="auto">
                    <a:xfrm>
                      <a:off x="0" y="0"/>
                      <a:ext cx="7181850" cy="3683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Business Day</w:t>
      </w:r>
      <w:r>
        <w:rPr>
          <w:rFonts w:ascii="Times New Roman" w:cs="Times New Roman" w:eastAsia="Times New Roman" w:hAnsi="Times New Roman"/>
          <w:sz w:val="16"/>
          <w:szCs w:val="16"/>
          <w:color w:val="auto"/>
        </w:rPr>
        <w:t xml:space="preserve">” shall mean any day other than Saturday, Sunday or other day on which commercial banks in The City of New York are authorized or required by law to remain closed;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for purposes of clarity,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Commission</w:t>
      </w:r>
      <w:r>
        <w:rPr>
          <w:rFonts w:ascii="Times New Roman" w:cs="Times New Roman" w:eastAsia="Times New Roman" w:hAnsi="Times New Roman"/>
          <w:sz w:val="17"/>
          <w:szCs w:val="17"/>
          <w:color w:val="auto"/>
        </w:rPr>
        <w:t>” shall mean the United States Securities and Exchange Commission.</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shall have the meaning ascribed to such term in Section 2.</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Stock Equivalents</w:t>
      </w:r>
      <w:r>
        <w:rPr>
          <w:rFonts w:ascii="Times New Roman" w:cs="Times New Roman" w:eastAsia="Times New Roman" w:hAnsi="Times New Roman"/>
          <w:sz w:val="17"/>
          <w:szCs w:val="17"/>
          <w:color w:val="auto"/>
        </w:rPr>
        <w:t>” shall have the meaning ascribed to such term in Section 3(g).</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Counsel</w:t>
      </w:r>
      <w:r>
        <w:rPr>
          <w:rFonts w:ascii="Times New Roman" w:cs="Times New Roman" w:eastAsia="Times New Roman" w:hAnsi="Times New Roman"/>
          <w:sz w:val="17"/>
          <w:szCs w:val="17"/>
          <w:color w:val="auto"/>
        </w:rPr>
        <w:t>” shall have the meaning ascribed to such term in Section 4(l).</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DTC</w:t>
      </w:r>
      <w:r>
        <w:rPr>
          <w:rFonts w:ascii="Times New Roman" w:cs="Times New Roman" w:eastAsia="Times New Roman" w:hAnsi="Times New Roman"/>
          <w:sz w:val="17"/>
          <w:szCs w:val="17"/>
          <w:color w:val="auto"/>
        </w:rPr>
        <w:t>” shall have the meaning ascribed to such term in Section 2(b)(vii).</w:t>
      </w:r>
    </w:p>
    <w:p>
      <w:pPr>
        <w:spacing w:after="0" w:line="110" w:lineRule="exact"/>
        <w:rPr>
          <w:sz w:val="20"/>
          <w:szCs w:val="20"/>
          <w:color w:val="auto"/>
        </w:rPr>
      </w:pPr>
    </w:p>
    <w:p>
      <w:pPr>
        <w:ind w:right="220" w:firstLine="399"/>
        <w:spacing w:after="0" w:line="27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shall mean each date and time that the Registration Statement and any post-effective amendment or amendments thereto became or becomes effective.</w:t>
      </w:r>
    </w:p>
    <w:p>
      <w:pPr>
        <w:spacing w:after="0" w:line="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ERISA</w:t>
      </w:r>
      <w:r>
        <w:rPr>
          <w:rFonts w:ascii="Times New Roman" w:cs="Times New Roman" w:eastAsia="Times New Roman" w:hAnsi="Times New Roman"/>
          <w:sz w:val="17"/>
          <w:szCs w:val="17"/>
          <w:color w:val="auto"/>
        </w:rPr>
        <w:t>” shall have the meaning ascribed to such term in Section 3.1(kk).</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ERISA Affiliate</w:t>
      </w:r>
      <w:r>
        <w:rPr>
          <w:rFonts w:ascii="Times New Roman" w:cs="Times New Roman" w:eastAsia="Times New Roman" w:hAnsi="Times New Roman"/>
          <w:sz w:val="17"/>
          <w:szCs w:val="17"/>
          <w:color w:val="auto"/>
        </w:rPr>
        <w:t>” shall have the meaning ascribed to such term in Section 3.1(kk).</w:t>
      </w:r>
    </w:p>
    <w:p>
      <w:pPr>
        <w:spacing w:after="0" w:line="110" w:lineRule="exact"/>
        <w:rPr>
          <w:sz w:val="20"/>
          <w:szCs w:val="20"/>
          <w:color w:val="auto"/>
        </w:rPr>
      </w:pPr>
    </w:p>
    <w:p>
      <w:pPr>
        <w:ind w:firstLine="399"/>
        <w:spacing w:after="0" w:line="27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shall mean the Securities Exchange Act of 1934, as amended, and the rules and regulations of the Commission promulgated thereunder.</w:t>
      </w:r>
    </w:p>
    <w:p>
      <w:pPr>
        <w:spacing w:after="0" w:line="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Execution Time</w:t>
      </w:r>
      <w:r>
        <w:rPr>
          <w:rFonts w:ascii="Times New Roman" w:cs="Times New Roman" w:eastAsia="Times New Roman" w:hAnsi="Times New Roman"/>
          <w:sz w:val="17"/>
          <w:szCs w:val="17"/>
          <w:color w:val="auto"/>
        </w:rPr>
        <w:t>” shall mean the date and time that this Agreement is executed and delivered by the parties hereto.</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Free Writing Prospectus</w:t>
      </w:r>
      <w:r>
        <w:rPr>
          <w:rFonts w:ascii="Times New Roman" w:cs="Times New Roman" w:eastAsia="Times New Roman" w:hAnsi="Times New Roman"/>
          <w:sz w:val="17"/>
          <w:szCs w:val="17"/>
          <w:color w:val="auto"/>
        </w:rPr>
        <w:t>” shall mean a free writing prospectus, as defined in Rule 405.</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GAAP</w:t>
      </w:r>
      <w:r>
        <w:rPr>
          <w:rFonts w:ascii="Times New Roman" w:cs="Times New Roman" w:eastAsia="Times New Roman" w:hAnsi="Times New Roman"/>
          <w:sz w:val="17"/>
          <w:szCs w:val="17"/>
          <w:color w:val="auto"/>
        </w:rPr>
        <w:t>” shall have the meaning ascribed to such term in Section 3(m).</w:t>
      </w:r>
    </w:p>
    <w:p>
      <w:pPr>
        <w:spacing w:after="0" w:line="110" w:lineRule="exact"/>
        <w:rPr>
          <w:sz w:val="20"/>
          <w:szCs w:val="20"/>
          <w:color w:val="auto"/>
        </w:rPr>
      </w:pPr>
    </w:p>
    <w:p>
      <w:pPr>
        <w:ind w:firstLine="399"/>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Incorporated Documents</w:t>
      </w:r>
      <w:r>
        <w:rPr>
          <w:rFonts w:ascii="Times New Roman" w:cs="Times New Roman" w:eastAsia="Times New Roman" w:hAnsi="Times New Roman"/>
          <w:sz w:val="17"/>
          <w:szCs w:val="17"/>
          <w:color w:val="auto"/>
        </w:rPr>
        <w:t>” shall mean the documents or portions thereof filed with the Commission on or prior to the Effective Date that are incorporated by reference in the Registration Statement or the Prospectus and any documents or portions thereof filed with the Commission after the Effective Date that are deemed to be incorporated by reference in the Registration Statement or the Prospectus.</w:t>
      </w:r>
    </w:p>
    <w:p>
      <w:pPr>
        <w:spacing w:after="0" w:line="10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9960"/>
          </w:cols>
          <w:pgMar w:left="1160" w:top="263" w:right="779" w:bottom="1440" w:gutter="0" w:footer="0" w:header="0"/>
        </w:sectPr>
      </w:pPr>
    </w:p>
    <w:bookmarkStart w:id="72" w:name="page73"/>
    <w:bookmarkEnd w:id="72"/>
    <w:p>
      <w:pPr>
        <w:ind w:left="4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6">
                      <a:extLst>
                        <a:ext uri="{28A0092B-C50C-407E-A947-70E740481C1C}"/>
                      </a:extLst>
                    </a:blip>
                    <a:srcRect/>
                    <a:stretch>
                      <a:fillRect/>
                    </a:stretch>
                  </pic:blipFill>
                  <pic:spPr bwMode="auto">
                    <a:xfrm>
                      <a:off x="0" y="0"/>
                      <a:ext cx="7181850" cy="3683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Intellectual Property Rights</w:t>
      </w:r>
      <w:r>
        <w:rPr>
          <w:rFonts w:ascii="Times New Roman" w:cs="Times New Roman" w:eastAsia="Times New Roman" w:hAnsi="Times New Roman"/>
          <w:sz w:val="17"/>
          <w:szCs w:val="17"/>
          <w:color w:val="auto"/>
        </w:rPr>
        <w:t>” shall have the meaning ascribed to such term in Section 3(v).</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Issuer Free Writing Prospectus</w:t>
      </w:r>
      <w:r>
        <w:rPr>
          <w:rFonts w:ascii="Times New Roman" w:cs="Times New Roman" w:eastAsia="Times New Roman" w:hAnsi="Times New Roman"/>
          <w:sz w:val="17"/>
          <w:szCs w:val="17"/>
          <w:color w:val="auto"/>
        </w:rPr>
        <w:t>” shall mean an issuer free writing prospectus, as defined in Rule 433.</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Losses</w:t>
      </w:r>
      <w:r>
        <w:rPr>
          <w:rFonts w:ascii="Times New Roman" w:cs="Times New Roman" w:eastAsia="Times New Roman" w:hAnsi="Times New Roman"/>
          <w:sz w:val="17"/>
          <w:szCs w:val="17"/>
          <w:color w:val="auto"/>
        </w:rPr>
        <w:t>” shall have the meaning ascribed to such term in Section 7(d).</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Material Adverse Effect</w:t>
      </w:r>
      <w:r>
        <w:rPr>
          <w:rFonts w:ascii="Times New Roman" w:cs="Times New Roman" w:eastAsia="Times New Roman" w:hAnsi="Times New Roman"/>
          <w:sz w:val="17"/>
          <w:szCs w:val="17"/>
          <w:color w:val="auto"/>
        </w:rPr>
        <w:t>” shall have the meaning ascribed to such term in Section 3(b).</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Material Permits</w:t>
      </w:r>
      <w:r>
        <w:rPr>
          <w:rFonts w:ascii="Times New Roman" w:cs="Times New Roman" w:eastAsia="Times New Roman" w:hAnsi="Times New Roman"/>
          <w:sz w:val="17"/>
          <w:szCs w:val="17"/>
          <w:color w:val="auto"/>
        </w:rPr>
        <w:t>” shall have the meaning ascribed to such term in Section 3(t).</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Net Proceeds</w:t>
      </w:r>
      <w:r>
        <w:rPr>
          <w:rFonts w:ascii="Times New Roman" w:cs="Times New Roman" w:eastAsia="Times New Roman" w:hAnsi="Times New Roman"/>
          <w:sz w:val="17"/>
          <w:szCs w:val="17"/>
          <w:color w:val="auto"/>
        </w:rPr>
        <w:t>” shall have the meaning ascribed to such term in Section 2(b)(v).</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Free Writing Prospectus</w:t>
      </w:r>
      <w:r>
        <w:rPr>
          <w:rFonts w:ascii="Times New Roman" w:cs="Times New Roman" w:eastAsia="Times New Roman" w:hAnsi="Times New Roman"/>
          <w:sz w:val="17"/>
          <w:szCs w:val="17"/>
          <w:color w:val="auto"/>
        </w:rPr>
        <w:t>” shall have the meaning ascribed to such term in Section 4(g).</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Placement</w:t>
      </w:r>
      <w:r>
        <w:rPr>
          <w:rFonts w:ascii="Times New Roman" w:cs="Times New Roman" w:eastAsia="Times New Roman" w:hAnsi="Times New Roman"/>
          <w:sz w:val="17"/>
          <w:szCs w:val="17"/>
          <w:color w:val="auto"/>
        </w:rPr>
        <w:t>” shall have the meaning ascribed to such term in Section 2(c).</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Proceeding</w:t>
      </w:r>
      <w:r>
        <w:rPr>
          <w:rFonts w:ascii="Times New Roman" w:cs="Times New Roman" w:eastAsia="Times New Roman" w:hAnsi="Times New Roman"/>
          <w:sz w:val="17"/>
          <w:szCs w:val="17"/>
          <w:color w:val="auto"/>
        </w:rPr>
        <w:t>” shall have the meaning ascribed to such term in Section 3(b).</w:t>
      </w:r>
    </w:p>
    <w:p>
      <w:pPr>
        <w:spacing w:after="0" w:line="110" w:lineRule="exact"/>
        <w:rPr>
          <w:sz w:val="20"/>
          <w:szCs w:val="20"/>
          <w:color w:val="auto"/>
        </w:rPr>
      </w:pPr>
    </w:p>
    <w:p>
      <w:pPr>
        <w:ind w:right="80" w:firstLine="399"/>
        <w:spacing w:after="0" w:line="27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Prospectus</w:t>
      </w:r>
      <w:r>
        <w:rPr>
          <w:rFonts w:ascii="Times New Roman" w:cs="Times New Roman" w:eastAsia="Times New Roman" w:hAnsi="Times New Roman"/>
          <w:sz w:val="17"/>
          <w:szCs w:val="17"/>
          <w:color w:val="auto"/>
        </w:rPr>
        <w:t>” shall mean the Base Prospectus and the ATM Prospectus included in the Registration Statement at the Effective Date and any subsequently filed Prospectus Supplement.</w:t>
      </w:r>
    </w:p>
    <w:p>
      <w:pPr>
        <w:spacing w:after="0" w:line="55" w:lineRule="exact"/>
        <w:rPr>
          <w:sz w:val="20"/>
          <w:szCs w:val="20"/>
          <w:color w:val="auto"/>
        </w:rPr>
      </w:pPr>
    </w:p>
    <w:p>
      <w:pPr>
        <w:ind w:firstLine="399"/>
        <w:spacing w:after="0" w:line="27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Prospectus Supplement</w:t>
      </w:r>
      <w:r>
        <w:rPr>
          <w:rFonts w:ascii="Times New Roman" w:cs="Times New Roman" w:eastAsia="Times New Roman" w:hAnsi="Times New Roman"/>
          <w:sz w:val="17"/>
          <w:szCs w:val="17"/>
          <w:color w:val="auto"/>
        </w:rPr>
        <w:t>” shall mean any prospectus supplement relating to the Shares prepared and filed pursuant to Rule 424(b) from time to time.</w:t>
      </w:r>
    </w:p>
    <w:p>
      <w:pPr>
        <w:spacing w:after="0" w:line="55" w:lineRule="exact"/>
        <w:rPr>
          <w:sz w:val="20"/>
          <w:szCs w:val="20"/>
          <w:color w:val="auto"/>
        </w:rPr>
      </w:pPr>
    </w:p>
    <w:p>
      <w:pPr>
        <w:ind w:right="20" w:firstLine="399"/>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shall mean the shelf registration statement on Form S-3 registering the public offer and sale of $150,000,000 of securities of the Company to be filed on or about the Execution Time, including exhibits and financial statements filed with or incorporated by reference into such registration statement, and any prospectus supplement relating to the Shares that is filed with the Commission pursuant to Rule 424(b) and deemed part of such registration statement pursuant to Rule 430B, as amended on each Effective Date and, in the event any post-effective amendment thereto becomes effective, shall also mean such registration statement as so amended.</w:t>
      </w:r>
    </w:p>
    <w:p>
      <w:pPr>
        <w:spacing w:after="0" w:line="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Representation Date</w:t>
      </w:r>
      <w:r>
        <w:rPr>
          <w:rFonts w:ascii="Times New Roman" w:cs="Times New Roman" w:eastAsia="Times New Roman" w:hAnsi="Times New Roman"/>
          <w:sz w:val="17"/>
          <w:szCs w:val="17"/>
          <w:color w:val="auto"/>
        </w:rPr>
        <w:t>” shall have the meaning ascribed to such term in Section 4(k).</w:t>
      </w:r>
    </w:p>
    <w:p>
      <w:pPr>
        <w:spacing w:after="0" w:line="14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9920"/>
          </w:cols>
          <w:pgMar w:left="1160" w:top="263" w:right="819" w:bottom="1440" w:gutter="0" w:footer="0" w:header="0"/>
        </w:sectPr>
      </w:pPr>
    </w:p>
    <w:bookmarkStart w:id="73" w:name="page74"/>
    <w:bookmarkEnd w:id="73"/>
    <w:p>
      <w:pPr>
        <w:ind w:left="7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7">
                      <a:extLst>
                        <a:ext uri="{28A0092B-C50C-407E-A947-70E740481C1C}"/>
                      </a:extLst>
                    </a:blip>
                    <a:srcRect/>
                    <a:stretch>
                      <a:fillRect/>
                    </a:stretch>
                  </pic:blipFill>
                  <pic:spPr bwMode="auto">
                    <a:xfrm>
                      <a:off x="0" y="0"/>
                      <a:ext cx="7181850" cy="3683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Required Approvals</w:t>
      </w:r>
      <w:r>
        <w:rPr>
          <w:rFonts w:ascii="Times New Roman" w:cs="Times New Roman" w:eastAsia="Times New Roman" w:hAnsi="Times New Roman"/>
          <w:sz w:val="17"/>
          <w:szCs w:val="17"/>
          <w:color w:val="auto"/>
        </w:rPr>
        <w:t>” shall have the meaning ascribed to such term in Section 3(e).</w:t>
      </w:r>
    </w:p>
    <w:p>
      <w:pPr>
        <w:spacing w:after="0" w:line="110" w:lineRule="exact"/>
        <w:rPr>
          <w:sz w:val="20"/>
          <w:szCs w:val="20"/>
          <w:color w:val="auto"/>
        </w:rPr>
      </w:pPr>
    </w:p>
    <w:p>
      <w:pPr>
        <w:ind w:left="380" w:right="320" w:firstLine="399"/>
        <w:spacing w:after="0" w:line="27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Rule 158</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Rule 164</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Rule 172</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Rule 173</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Rule 405</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Rule 415</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Rule 424</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Rule 430B</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Rule 433</w:t>
      </w:r>
      <w:r>
        <w:rPr>
          <w:rFonts w:ascii="Times New Roman" w:cs="Times New Roman" w:eastAsia="Times New Roman" w:hAnsi="Times New Roman"/>
          <w:sz w:val="17"/>
          <w:szCs w:val="17"/>
          <w:color w:val="auto"/>
        </w:rPr>
        <w:t>” refer to such rules under the Act.</w:t>
      </w:r>
    </w:p>
    <w:p>
      <w:pPr>
        <w:spacing w:after="0" w:line="5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Sales Notice</w:t>
      </w:r>
      <w:r>
        <w:rPr>
          <w:rFonts w:ascii="Times New Roman" w:cs="Times New Roman" w:eastAsia="Times New Roman" w:hAnsi="Times New Roman"/>
          <w:sz w:val="17"/>
          <w:szCs w:val="17"/>
          <w:color w:val="auto"/>
        </w:rPr>
        <w:t>” shall have the meaning ascribed to such term in Section 2(b)(i).</w:t>
      </w:r>
    </w:p>
    <w:p>
      <w:pPr>
        <w:spacing w:after="0" w:line="11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 Reports</w:t>
      </w:r>
      <w:r>
        <w:rPr>
          <w:rFonts w:ascii="Times New Roman" w:cs="Times New Roman" w:eastAsia="Times New Roman" w:hAnsi="Times New Roman"/>
          <w:sz w:val="17"/>
          <w:szCs w:val="17"/>
          <w:color w:val="auto"/>
        </w:rPr>
        <w:t>” shall have the meaning ascribed to such term in Section 3(m).</w:t>
      </w:r>
    </w:p>
    <w:p>
      <w:pPr>
        <w:spacing w:after="0" w:line="11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Settlement Date</w:t>
      </w:r>
      <w:r>
        <w:rPr>
          <w:rFonts w:ascii="Times New Roman" w:cs="Times New Roman" w:eastAsia="Times New Roman" w:hAnsi="Times New Roman"/>
          <w:sz w:val="17"/>
          <w:szCs w:val="17"/>
          <w:color w:val="auto"/>
        </w:rPr>
        <w:t>” shall have the meaning ascribed to such term in Section 2(b)(vii).</w:t>
      </w:r>
    </w:p>
    <w:p>
      <w:pPr>
        <w:spacing w:after="0" w:line="11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shall have the meaning ascribed to such term in Section 3(a).</w:t>
      </w:r>
    </w:p>
    <w:p>
      <w:pPr>
        <w:spacing w:after="0" w:line="11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Terms Agreement</w:t>
      </w:r>
      <w:r>
        <w:rPr>
          <w:rFonts w:ascii="Times New Roman" w:cs="Times New Roman" w:eastAsia="Times New Roman" w:hAnsi="Times New Roman"/>
          <w:sz w:val="17"/>
          <w:szCs w:val="17"/>
          <w:color w:val="auto"/>
        </w:rPr>
        <w:t>” shall have the meaning ascribed to such term in Section 2(a).</w:t>
      </w:r>
    </w:p>
    <w:p>
      <w:pPr>
        <w:spacing w:after="0" w:line="11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Time of Delivery</w:t>
      </w:r>
      <w:r>
        <w:rPr>
          <w:rFonts w:ascii="Times New Roman" w:cs="Times New Roman" w:eastAsia="Times New Roman" w:hAnsi="Times New Roman"/>
          <w:sz w:val="17"/>
          <w:szCs w:val="17"/>
          <w:color w:val="auto"/>
        </w:rPr>
        <w:t>” shall have the meaning ascribed to such term in Section 2(c).</w:t>
      </w:r>
    </w:p>
    <w:p>
      <w:pPr>
        <w:spacing w:after="0" w:line="11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Trading Day</w:t>
      </w:r>
      <w:r>
        <w:rPr>
          <w:rFonts w:ascii="Times New Roman" w:cs="Times New Roman" w:eastAsia="Times New Roman" w:hAnsi="Times New Roman"/>
          <w:sz w:val="17"/>
          <w:szCs w:val="17"/>
          <w:color w:val="auto"/>
        </w:rPr>
        <w:t>” means a day on which the Trading Market is open for trading.</w:t>
      </w:r>
    </w:p>
    <w:p>
      <w:pPr>
        <w:spacing w:after="0" w:line="11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Trading Market</w:t>
      </w:r>
      <w:r>
        <w:rPr>
          <w:rFonts w:ascii="Times New Roman" w:cs="Times New Roman" w:eastAsia="Times New Roman" w:hAnsi="Times New Roman"/>
          <w:sz w:val="17"/>
          <w:szCs w:val="17"/>
          <w:color w:val="auto"/>
        </w:rPr>
        <w:t>” means the Nasdaq Capital Market.</w:t>
      </w:r>
    </w:p>
    <w:p>
      <w:pPr>
        <w:spacing w:after="0" w:line="110" w:lineRule="exact"/>
        <w:rPr>
          <w:sz w:val="20"/>
          <w:szCs w:val="20"/>
          <w:color w:val="auto"/>
        </w:rPr>
      </w:pPr>
    </w:p>
    <w:p>
      <w:pPr>
        <w:ind w:left="380" w:firstLine="399"/>
        <w:spacing w:after="0" w:line="255" w:lineRule="auto"/>
        <w:rPr>
          <w:sz w:val="20"/>
          <w:szCs w:val="20"/>
          <w:color w:val="auto"/>
        </w:rPr>
      </w:pPr>
      <w:r>
        <w:rPr>
          <w:rFonts w:ascii="Times New Roman" w:cs="Times New Roman" w:eastAsia="Times New Roman" w:hAnsi="Times New Roman"/>
          <w:sz w:val="17"/>
          <w:szCs w:val="17"/>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which is or is deemed to be incorporated by reference in or otherwise deemed under the Act to be a part of or included in the Registration Statement or the Prospectus, as the case may be, as of any specified date; and all references in this Agreement to amendments or supplements to the Registration Statement or the Prospectus shall be deemed to mean and include, without limitation, the filing of any Incorporated Document to be a part of or included in the Registration Statement or the Prospectus, as the case may be, as of any specified date.</w:t>
      </w:r>
    </w:p>
    <w:p>
      <w:pPr>
        <w:spacing w:after="0" w:line="176" w:lineRule="exact"/>
        <w:rPr>
          <w:sz w:val="20"/>
          <w:szCs w:val="20"/>
          <w:color w:val="auto"/>
        </w:rPr>
      </w:pPr>
    </w:p>
    <w:p>
      <w:pPr>
        <w:jc w:val="both"/>
        <w:ind w:left="-40" w:right="120" w:firstLine="424"/>
        <w:spacing w:after="0" w:line="259" w:lineRule="auto"/>
        <w:tabs>
          <w:tab w:leader="none" w:pos="545"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Sale and Delivery of Shares</w:t>
      </w:r>
      <w:r>
        <w:rPr>
          <w:rFonts w:ascii="Times New Roman" w:cs="Times New Roman" w:eastAsia="Times New Roman" w:hAnsi="Times New Roman"/>
          <w:sz w:val="17"/>
          <w:szCs w:val="17"/>
          <w:color w:val="auto"/>
        </w:rPr>
        <w:t>. The Company proposes to issue and sell through or to the Manager, as sales agent and/or principal, from time to time during the term of this Agreement and on the terms set forth herein, up to such number of shares (the “</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of the Company’s common stock, $0.001 par value per share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that does not exceed (a) the number or dollar amount of shares of Common Stock registered on the Prospectus, pursuant to which the offering is being made, (b) the number</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320"/>
          </w:cols>
          <w:pgMar w:left="780" w:top="263" w:right="799" w:bottom="1440" w:gutter="0" w:footer="0" w:header="0"/>
        </w:sectPr>
      </w:pPr>
    </w:p>
    <w:bookmarkStart w:id="74" w:name="page75"/>
    <w:bookmarkEnd w:id="74"/>
    <w:p>
      <w:pPr>
        <w:jc w:val="both"/>
        <w:spacing w:after="0" w:line="27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8">
                      <a:extLst>
                        <a:ext uri="{28A0092B-C50C-407E-A947-70E740481C1C}"/>
                      </a:extLst>
                    </a:blip>
                    <a:srcRect/>
                    <a:stretch>
                      <a:fillRect/>
                    </a:stretch>
                  </pic:blipFill>
                  <pic:spPr bwMode="auto">
                    <a:xfrm>
                      <a:off x="0" y="0"/>
                      <a:ext cx="7181850" cy="36830"/>
                    </a:xfrm>
                    <a:prstGeom prst="rect">
                      <a:avLst/>
                    </a:prstGeom>
                    <a:noFill/>
                  </pic:spPr>
                </pic:pic>
              </a:graphicData>
            </a:graphic>
          </wp:anchor>
        </w:drawing>
        <w:t>of authorized but unissued shares of Common Stock (less the number of shares of Common Stock issuable upon exercise, conversion or exchange of any outstanding securities of the Company or otherwise reserved from the Company’s authorized capital stock), or (c) the number or dollar amount of shares of Common Stock that would cause the Company or the offering of the Shares to not satisfy the eligibility and transaction requirements for use of Form S-3, including, if applicable, General Instruction I.B.6 of Registration Statement on Form S-3 (the lesser of (a), (b) and (c), the “</w:t>
      </w:r>
      <w:r>
        <w:rPr>
          <w:rFonts w:ascii="Times New Roman" w:cs="Times New Roman" w:eastAsia="Times New Roman" w:hAnsi="Times New Roman"/>
          <w:sz w:val="16"/>
          <w:szCs w:val="16"/>
          <w:u w:val="single" w:color="auto"/>
          <w:color w:val="auto"/>
        </w:rPr>
        <w:t>Maximum Amount</w:t>
      </w:r>
      <w:r>
        <w:rPr>
          <w:rFonts w:ascii="Times New Roman" w:cs="Times New Roman" w:eastAsia="Times New Roman" w:hAnsi="Times New Roman"/>
          <w:sz w:val="16"/>
          <w:szCs w:val="16"/>
          <w:color w:val="auto"/>
        </w:rPr>
        <w:t>”).</w:t>
      </w:r>
    </w:p>
    <w:p>
      <w:pPr>
        <w:spacing w:after="0" w:line="3"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7"/>
          <w:szCs w:val="17"/>
          <w:color w:val="auto"/>
        </w:rPr>
        <w:t>Notwithstanding anything to the contrary contained herein, the parties hereto agree that compliance with the limitations set forth in this Section 2 on the number and aggregate sales price of Shares issued and sold under this Agreement shall be the sole responsibility of the Company and that the Manager shall have no obligation in connection with such compliance.</w:t>
      </w:r>
    </w:p>
    <w:p>
      <w:pPr>
        <w:spacing w:after="0" w:line="75" w:lineRule="exact"/>
        <w:rPr>
          <w:sz w:val="20"/>
          <w:szCs w:val="20"/>
          <w:color w:val="auto"/>
        </w:rPr>
      </w:pPr>
    </w:p>
    <w:p>
      <w:pPr>
        <w:ind w:left="420" w:firstLine="403"/>
        <w:spacing w:after="0" w:line="257" w:lineRule="auto"/>
        <w:tabs>
          <w:tab w:leader="none" w:pos="1049"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Appointment of Manager as Selling Agent; Terms Agreement</w:t>
      </w:r>
      <w:r>
        <w:rPr>
          <w:rFonts w:ascii="Times New Roman" w:cs="Times New Roman" w:eastAsia="Times New Roman" w:hAnsi="Times New Roman"/>
          <w:sz w:val="17"/>
          <w:szCs w:val="17"/>
          <w:color w:val="auto"/>
        </w:rPr>
        <w:t>. For purposes of selling the Shares through the Manager, the Company hereby appoints the Manager as exclusive agent of the Company for the purpose of selling the Shares of the Company pursuant to this Agreement and the Manager agrees to use its commercially reasonable efforts to sell the Shares on the terms and subject to the conditions stated herein. The Company agrees that, whenever it determines to sell the Shares directly to the Manager as principal, it will enter into a separate agreement (each, a “</w:t>
      </w:r>
      <w:r>
        <w:rPr>
          <w:rFonts w:ascii="Times New Roman" w:cs="Times New Roman" w:eastAsia="Times New Roman" w:hAnsi="Times New Roman"/>
          <w:sz w:val="17"/>
          <w:szCs w:val="17"/>
          <w:u w:val="single" w:color="auto"/>
          <w:color w:val="auto"/>
        </w:rPr>
        <w:t>Terms Agreement</w:t>
      </w:r>
      <w:r>
        <w:rPr>
          <w:rFonts w:ascii="Times New Roman" w:cs="Times New Roman" w:eastAsia="Times New Roman" w:hAnsi="Times New Roman"/>
          <w:sz w:val="17"/>
          <w:szCs w:val="17"/>
          <w:color w:val="auto"/>
        </w:rPr>
        <w:t xml:space="preserve">”) in substantially the form of </w:t>
      </w:r>
      <w:r>
        <w:rPr>
          <w:rFonts w:ascii="Times New Roman" w:cs="Times New Roman" w:eastAsia="Times New Roman" w:hAnsi="Times New Roman"/>
          <w:sz w:val="17"/>
          <w:szCs w:val="17"/>
          <w:u w:val="single" w:color="auto"/>
          <w:color w:val="auto"/>
        </w:rPr>
        <w:t>Annex I</w:t>
      </w:r>
      <w:r>
        <w:rPr>
          <w:rFonts w:ascii="Times New Roman" w:cs="Times New Roman" w:eastAsia="Times New Roman" w:hAnsi="Times New Roman"/>
          <w:sz w:val="17"/>
          <w:szCs w:val="17"/>
          <w:color w:val="auto"/>
        </w:rPr>
        <w:t xml:space="preserve"> hereto, relating to such sale in accordance with Section 2 of this Agreement.</w:t>
      </w:r>
    </w:p>
    <w:p>
      <w:pPr>
        <w:spacing w:after="0" w:line="73" w:lineRule="exact"/>
        <w:rPr>
          <w:rFonts w:ascii="Times New Roman" w:cs="Times New Roman" w:eastAsia="Times New Roman" w:hAnsi="Times New Roman"/>
          <w:sz w:val="17"/>
          <w:szCs w:val="17"/>
          <w:color w:val="auto"/>
        </w:rPr>
      </w:pPr>
    </w:p>
    <w:p>
      <w:pPr>
        <w:ind w:left="420" w:right="160" w:firstLine="403"/>
        <w:spacing w:after="0" w:line="264" w:lineRule="auto"/>
        <w:tabs>
          <w:tab w:leader="none" w:pos="1059"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Agent Sales</w:t>
      </w:r>
      <w:r>
        <w:rPr>
          <w:rFonts w:ascii="Times New Roman" w:cs="Times New Roman" w:eastAsia="Times New Roman" w:hAnsi="Times New Roman"/>
          <w:sz w:val="17"/>
          <w:szCs w:val="17"/>
          <w:color w:val="auto"/>
        </w:rPr>
        <w:t>. Subject to the terms and conditions and in reliance upon the representations and warranties herein set forth, and following the Effective Date, the Company will issue and agrees to sell Shares from time to time through the Manager, acting as sales agent, and the Manager agrees to use its commercially reasonable efforts to sell, as sales agent for the Company, on the following terms:</w:t>
      </w:r>
    </w:p>
    <w:p>
      <w:pPr>
        <w:spacing w:after="0" w:line="68" w:lineRule="exact"/>
        <w:rPr>
          <w:rFonts w:ascii="Times New Roman" w:cs="Times New Roman" w:eastAsia="Times New Roman" w:hAnsi="Times New Roman"/>
          <w:sz w:val="17"/>
          <w:szCs w:val="17"/>
          <w:color w:val="auto"/>
        </w:rPr>
      </w:pPr>
    </w:p>
    <w:p>
      <w:pPr>
        <w:ind w:left="1520" w:hanging="198"/>
        <w:spacing w:after="0"/>
        <w:tabs>
          <w:tab w:leader="none" w:pos="1520" w:val="left"/>
        </w:tabs>
        <w:numPr>
          <w:ilvl w:val="2"/>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are to be sold on a daily basis or otherwise as shall be agreed to by the Company and the Manager on any day that</w:t>
      </w:r>
    </w:p>
    <w:p>
      <w:pPr>
        <w:spacing w:after="0" w:line="23" w:lineRule="exact"/>
        <w:rPr>
          <w:rFonts w:ascii="Times New Roman" w:cs="Times New Roman" w:eastAsia="Times New Roman" w:hAnsi="Times New Roman"/>
          <w:sz w:val="17"/>
          <w:szCs w:val="17"/>
          <w:color w:val="auto"/>
        </w:rPr>
      </w:pPr>
    </w:p>
    <w:p>
      <w:pPr>
        <w:ind w:left="940" w:right="80" w:firstLine="4"/>
        <w:spacing w:after="0" w:line="251" w:lineRule="auto"/>
        <w:tabs>
          <w:tab w:leader="none" w:pos="1218"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a Trading Day, (B) the Company has instructed the Manager by telephone (confirmed promptly by electronic mail) to make such sales (“</w:t>
      </w:r>
      <w:r>
        <w:rPr>
          <w:rFonts w:ascii="Times New Roman" w:cs="Times New Roman" w:eastAsia="Times New Roman" w:hAnsi="Times New Roman"/>
          <w:sz w:val="17"/>
          <w:szCs w:val="17"/>
          <w:u w:val="single" w:color="auto"/>
          <w:color w:val="auto"/>
        </w:rPr>
        <w:t>Sales Notice</w:t>
      </w:r>
      <w:r>
        <w:rPr>
          <w:rFonts w:ascii="Times New Roman" w:cs="Times New Roman" w:eastAsia="Times New Roman" w:hAnsi="Times New Roman"/>
          <w:sz w:val="17"/>
          <w:szCs w:val="17"/>
          <w:color w:val="auto"/>
        </w:rPr>
        <w:t>”) and (C) the Company has satisfied its obligations under Section 6 of this Agreement. The Company will designate the maximum amount of the Shares to be sold by the Manager daily (subject to the limitations set forth in Section 2(d)) and the minimum price per Share at which such Shares may be sold. Subject to the terms and conditions hereof, the Manager shall use its commercially reasonable efforts to sell on a particular day all of the Shares designated for the sale by the Company on such day. The gross sales price of the Shares sold under this Section 2(b) shall be equal to the sale price for the shares of Common Stock sold by the Manager under this Section 2(b) on the Trading Market at the time of sale of such Shares.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400"/>
          </w:cols>
          <w:pgMar w:left="740" w:top="263" w:right="759" w:bottom="1440" w:gutter="0" w:footer="0" w:header="0"/>
        </w:sectPr>
      </w:pPr>
    </w:p>
    <w:bookmarkStart w:id="75" w:name="page76"/>
    <w:bookmarkEnd w:id="75"/>
    <w:p>
      <w:pPr>
        <w:ind w:left="240" w:right="20" w:firstLine="382"/>
        <w:spacing w:after="0" w:line="255" w:lineRule="auto"/>
        <w:tabs>
          <w:tab w:leader="none" w:pos="868"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9">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The Company acknowledges and agrees that (A) there can be no assurance that the Manager will be successful in selling the Shares, (B) the Manager will incur no liability or obligation to the Company or any other Person if it does not sell the Shares for any reason other than a failure by the Manager to use its commercially reasonable efforts consistent with its normal trading and sales practices and applicable law and regulations to sell such Shares as required under this Agreement, and (C) the Manager shall be under no obligation to purchase Shares on a principal basis pursuant to this Agreement, except as otherwise specifically agreed by the Manager and the Company pursuant to a Terms Agreement.</w:t>
      </w:r>
    </w:p>
    <w:p>
      <w:pPr>
        <w:spacing w:after="0" w:line="78" w:lineRule="exact"/>
        <w:rPr>
          <w:rFonts w:ascii="Times New Roman" w:cs="Times New Roman" w:eastAsia="Times New Roman" w:hAnsi="Times New Roman"/>
          <w:sz w:val="17"/>
          <w:szCs w:val="17"/>
          <w:color w:val="auto"/>
        </w:rPr>
      </w:pPr>
    </w:p>
    <w:p>
      <w:pPr>
        <w:ind w:left="240" w:firstLine="382"/>
        <w:spacing w:after="0" w:line="254" w:lineRule="auto"/>
        <w:tabs>
          <w:tab w:leader="none" w:pos="915"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not authorize the issuance and sale of, and the Manager shall not be obligated to use its commercially reasonable efforts to sell, any Share at a price lower than the minimum price therefor designated from time to time by the Company’s Board of Directors (the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or a duly authorized committee thereof, or such duly authorized officers of the Company, and notified to the Manager in writing. The Company or the Manager may, upon notice to the other party hereto by telephone (confirmed promptly by electronic mail), terminate or suspend the offering of the Shares for any reason and at any time (a “</w:t>
      </w:r>
      <w:r>
        <w:rPr>
          <w:rFonts w:ascii="Times New Roman" w:cs="Times New Roman" w:eastAsia="Times New Roman" w:hAnsi="Times New Roman"/>
          <w:sz w:val="17"/>
          <w:szCs w:val="17"/>
          <w:u w:val="single" w:color="auto"/>
          <w:color w:val="auto"/>
        </w:rPr>
        <w:t>Suspension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such Suspension or termination shall not affect or impair the parties’ respective obligations with respect to the Shares sold hereunder prior to the giving of such notice. While a Suspension is in effect, any obligation under Sections 4(l), 4(m), and 4(n) with respect to the delivery of certificates, opinions, or comfort letters to the Manager, shall be suspended until the offering of Shares pursuant is resumed.</w:t>
      </w:r>
    </w:p>
    <w:p>
      <w:pPr>
        <w:spacing w:after="0" w:line="76" w:lineRule="exact"/>
        <w:rPr>
          <w:rFonts w:ascii="Times New Roman" w:cs="Times New Roman" w:eastAsia="Times New Roman" w:hAnsi="Times New Roman"/>
          <w:sz w:val="17"/>
          <w:szCs w:val="17"/>
          <w:color w:val="auto"/>
        </w:rPr>
      </w:pPr>
    </w:p>
    <w:p>
      <w:pPr>
        <w:ind w:left="240" w:firstLine="382"/>
        <w:spacing w:after="0" w:line="257" w:lineRule="auto"/>
        <w:tabs>
          <w:tab w:leader="none" w:pos="906"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Manager may sell Shares by any method permitted by law deemed to be an “at the market offering” as defined in Rule 415 under the Act, including without limitation sales made directly on the Trading Market, on any other existing trading market for the Common Stock or to or through a market maker. The Manager may also sell Shares in privately negotiated transactions, provided that the Manager receives the Company’s prior written approval for any sales in privately negotiated transactions and if so provided in the “Plan of Distribution” section of the Prospectus or a Prospectus Supplement disclosing the terms of such privately negotiated transaction.</w:t>
      </w:r>
    </w:p>
    <w:p>
      <w:pPr>
        <w:spacing w:after="0" w:line="73" w:lineRule="exact"/>
        <w:rPr>
          <w:rFonts w:ascii="Times New Roman" w:cs="Times New Roman" w:eastAsia="Times New Roman" w:hAnsi="Times New Roman"/>
          <w:sz w:val="17"/>
          <w:szCs w:val="17"/>
          <w:color w:val="auto"/>
        </w:rPr>
      </w:pPr>
    </w:p>
    <w:p>
      <w:pPr>
        <w:ind w:left="240" w:right="120" w:firstLine="382"/>
        <w:spacing w:after="0" w:line="255" w:lineRule="auto"/>
        <w:tabs>
          <w:tab w:leader="none" w:pos="858"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compensation to the Manager for sales of the Shares under this Section 2(b) shall be a placement fee of 3.0% of the gross sales price of the Shares sold pursuant to this Section 2(b) (“</w:t>
      </w:r>
      <w:r>
        <w:rPr>
          <w:rFonts w:ascii="Times New Roman" w:cs="Times New Roman" w:eastAsia="Times New Roman" w:hAnsi="Times New Roman"/>
          <w:sz w:val="17"/>
          <w:szCs w:val="17"/>
          <w:u w:val="single" w:color="auto"/>
          <w:color w:val="auto"/>
        </w:rPr>
        <w:t>Broker Fee</w:t>
      </w:r>
      <w:r>
        <w:rPr>
          <w:rFonts w:ascii="Times New Roman" w:cs="Times New Roman" w:eastAsia="Times New Roman" w:hAnsi="Times New Roman"/>
          <w:sz w:val="17"/>
          <w:szCs w:val="17"/>
          <w:color w:val="auto"/>
        </w:rPr>
        <w:t>”). The foregoing rate of compensation shall not apply when the Manager acts as principal, in which case the Company may sell Shares to the Manager as principal at a price agreed upon at the relevant Applicable Time pursuant to a Terms Agreement. The remaining proceeds, after deduction of the Broker Fee and deduction of any transaction fees imposed by any clearing firm, execution broker, or governmental or self-regulatory organization in respect of such sales, shall constitute the net proceeds to the Company for such Shares (the “</w:t>
      </w:r>
      <w:r>
        <w:rPr>
          <w:rFonts w:ascii="Times New Roman" w:cs="Times New Roman" w:eastAsia="Times New Roman" w:hAnsi="Times New Roman"/>
          <w:sz w:val="17"/>
          <w:szCs w:val="17"/>
          <w:u w:val="single" w:color="auto"/>
          <w:color w:val="auto"/>
        </w:rPr>
        <w:t>Net Proceeds</w:t>
      </w:r>
      <w:r>
        <w:rPr>
          <w:rFonts w:ascii="Times New Roman" w:cs="Times New Roman" w:eastAsia="Times New Roman" w:hAnsi="Times New Roman"/>
          <w:sz w:val="17"/>
          <w:szCs w:val="17"/>
          <w:color w:val="auto"/>
        </w:rPr>
        <w:t>”).</w:t>
      </w:r>
    </w:p>
    <w:p>
      <w:pPr>
        <w:spacing w:after="0" w:line="11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9660"/>
          </w:cols>
          <w:pgMar w:left="1440" w:top="263" w:right="799" w:bottom="1440" w:gutter="0" w:footer="0" w:header="0"/>
        </w:sectPr>
      </w:pPr>
    </w:p>
    <w:bookmarkStart w:id="76" w:name="page77"/>
    <w:bookmarkEnd w:id="76"/>
    <w:p>
      <w:pPr>
        <w:ind w:left="240" w:right="80" w:firstLine="382"/>
        <w:spacing w:after="0" w:line="259" w:lineRule="auto"/>
        <w:tabs>
          <w:tab w:leader="none" w:pos="906"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0">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The Manager shall provide written confirmation (which may be by electronic mail) to the Company following the close of trading on the Trading Market each day in which the Shares are sold under this Section 2(b) setting forth the number of the Shares sold on such day, the aggregate gross sales proceeds and the Net Proceeds to the Company, and the compensation payable by the Company to the Manager with respect to such sales.</w:t>
      </w:r>
    </w:p>
    <w:p>
      <w:pPr>
        <w:spacing w:after="0" w:line="73" w:lineRule="exact"/>
        <w:rPr>
          <w:rFonts w:ascii="Times New Roman" w:cs="Times New Roman" w:eastAsia="Times New Roman" w:hAnsi="Times New Roman"/>
          <w:sz w:val="17"/>
          <w:szCs w:val="17"/>
          <w:color w:val="auto"/>
        </w:rPr>
      </w:pPr>
    </w:p>
    <w:p>
      <w:pPr>
        <w:ind w:left="240" w:firstLine="382"/>
        <w:spacing w:after="0" w:line="252" w:lineRule="auto"/>
        <w:tabs>
          <w:tab w:leader="none" w:pos="953"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agreed between the Company and the Manager, settlement for sales of the Shares will occur at 10:00 a.m. (New York City time) on the first (1st) Trading Day (or any such shorter settlement cycle as may be in effect pursuant to Rule 15c6-1 under the Exchange Act from time to time) following the date on which such sales are made (each, a “</w:t>
      </w:r>
      <w:r>
        <w:rPr>
          <w:rFonts w:ascii="Times New Roman" w:cs="Times New Roman" w:eastAsia="Times New Roman" w:hAnsi="Times New Roman"/>
          <w:sz w:val="17"/>
          <w:szCs w:val="17"/>
          <w:u w:val="single" w:color="auto"/>
          <w:color w:val="auto"/>
        </w:rPr>
        <w:t>Settlement Date</w:t>
      </w:r>
      <w:r>
        <w:rPr>
          <w:rFonts w:ascii="Times New Roman" w:cs="Times New Roman" w:eastAsia="Times New Roman" w:hAnsi="Times New Roman"/>
          <w:sz w:val="17"/>
          <w:szCs w:val="17"/>
          <w:color w:val="auto"/>
        </w:rPr>
        <w:t>”). On or before the Trading Day prior to each Settlement Date, the Company will, or will cause its transfer agent to, electronically transfer the Shares being sold by crediting the Manager’s or its designee’s account (provided that the Manager shall have given the Company written notice of such designee at least one Trading Day prior to the Settlement Date) at The Depository Trust Company (“</w:t>
      </w:r>
      <w:r>
        <w:rPr>
          <w:rFonts w:ascii="Times New Roman" w:cs="Times New Roman" w:eastAsia="Times New Roman" w:hAnsi="Times New Roman"/>
          <w:sz w:val="17"/>
          <w:szCs w:val="17"/>
          <w:u w:val="single" w:color="auto"/>
          <w:color w:val="auto"/>
        </w:rPr>
        <w:t>DTC</w:t>
      </w:r>
      <w:r>
        <w:rPr>
          <w:rFonts w:ascii="Times New Roman" w:cs="Times New Roman" w:eastAsia="Times New Roman" w:hAnsi="Times New Roman"/>
          <w:sz w:val="17"/>
          <w:szCs w:val="17"/>
          <w:color w:val="auto"/>
        </w:rPr>
        <w:t>”) through its Deposit and Withdrawal at Custodian System or by such other means of delivery as may be mutually agreed upon by the parties hereto which Shares in all cases shall be freely tradable, transferable, registered shares in good deliverable form. On each Settlement Date, the Manager will deliver the related Net Proceeds in same day funds to an account designated by the Company. The Company agrees that, if the Company, or its transfer agent (if applicable), defaults in its obligation to deliver duly authorized Shares on a Settlement Date, in addition to and in no way limiting the rights and obligations set forth in Section 7 hereto, the Company will (i) hold the Manager harmless against any loss, claim, damage, or reasonable, documented expense (including reasonable and documented legal fees and expenses), as incurred, arising out of or in connection with such default by the Company, and (ii) pay to the Manager any commission, discount or other compensation to which the Manager would otherwise have been entitled absent such default.</w:t>
      </w:r>
    </w:p>
    <w:p>
      <w:pPr>
        <w:spacing w:after="0" w:line="80" w:lineRule="exact"/>
        <w:rPr>
          <w:rFonts w:ascii="Times New Roman" w:cs="Times New Roman" w:eastAsia="Times New Roman" w:hAnsi="Times New Roman"/>
          <w:sz w:val="17"/>
          <w:szCs w:val="17"/>
          <w:color w:val="auto"/>
        </w:rPr>
      </w:pPr>
    </w:p>
    <w:p>
      <w:pPr>
        <w:ind w:left="240" w:right="160" w:firstLine="382"/>
        <w:spacing w:after="0" w:line="255" w:lineRule="auto"/>
        <w:tabs>
          <w:tab w:leader="none" w:pos="10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each Applicable Time, Settlement Date, and Representation Date, the Company shall be deemed to have affirmed each representation and warranty contained in this Agreement as if such representation and warranty were made as of such date, modified as necessary to relate to the Registration Statement and the Prospectus as amended as of such date. Any obligation of the Manager to use its commercially reasonable efforts to sell the Shares on behalf of the Company shall be subject to the continuing accuracy of the representations and warranties of the Company herein, to the performance by the Company of its obligations hereunder and to the continuing satisfaction of the additional conditions specified in Section 6 of this Agreement.</w:t>
      </w:r>
    </w:p>
    <w:p>
      <w:pPr>
        <w:spacing w:after="0" w:line="11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9700"/>
          </w:cols>
          <w:pgMar w:left="1440" w:top="263" w:right="759" w:bottom="1440" w:gutter="0" w:footer="0" w:header="0"/>
        </w:sectPr>
      </w:pPr>
    </w:p>
    <w:bookmarkStart w:id="77" w:name="page78"/>
    <w:bookmarkEnd w:id="77"/>
    <w:p>
      <w:pPr>
        <w:ind w:left="520" w:right="80" w:firstLine="382"/>
        <w:spacing w:after="0" w:line="255" w:lineRule="auto"/>
        <w:tabs>
          <w:tab w:leader="none" w:pos="1186"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1">
                      <a:extLst>
                        <a:ext uri="{28A0092B-C50C-407E-A947-70E740481C1C}"/>
                      </a:extLst>
                    </a:blip>
                    <a:srcRect/>
                    <a:stretch>
                      <a:fillRect/>
                    </a:stretch>
                  </pic:blipFill>
                  <pic:spPr bwMode="auto">
                    <a:xfrm>
                      <a:off x="0" y="0"/>
                      <a:ext cx="7181850" cy="36830"/>
                    </a:xfrm>
                    <a:prstGeom prst="rect">
                      <a:avLst/>
                    </a:prstGeom>
                    <a:noFill/>
                  </pic:spPr>
                </pic:pic>
              </a:graphicData>
            </a:graphic>
          </wp:anchor>
        </w:drawing>
        <w:t>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7"/>
          <w:szCs w:val="17"/>
          <w:u w:val="single" w:color="auto"/>
          <w:color w:val="auto"/>
        </w:rPr>
        <w:t>Distribution</w:t>
      </w:r>
      <w:r>
        <w:rPr>
          <w:rFonts w:ascii="Times New Roman" w:cs="Times New Roman" w:eastAsia="Times New Roman" w:hAnsi="Times New Roman"/>
          <w:sz w:val="17"/>
          <w:szCs w:val="17"/>
          <w:color w:val="auto"/>
        </w:rPr>
        <w:t>” and the record date for the determination of stockholders entitled to receive the Distribution, the “</w:t>
      </w:r>
      <w:r>
        <w:rPr>
          <w:rFonts w:ascii="Times New Roman" w:cs="Times New Roman" w:eastAsia="Times New Roman" w:hAnsi="Times New Roman"/>
          <w:sz w:val="17"/>
          <w:szCs w:val="17"/>
          <w:u w:val="single" w:color="auto"/>
          <w:color w:val="auto"/>
        </w:rPr>
        <w:t>Record Date</w:t>
      </w:r>
      <w:r>
        <w:rPr>
          <w:rFonts w:ascii="Times New Roman" w:cs="Times New Roman" w:eastAsia="Times New Roman" w:hAnsi="Times New Roman"/>
          <w:sz w:val="17"/>
          <w:szCs w:val="17"/>
          <w:color w:val="auto"/>
        </w:rPr>
        <w:t>”), the Company hereby covenants that, in connection with any sales of Shares pursuant to a Sales Notice on the Record Date, the Company shall issue and deliver such Shares to the Manager on the Record Date and the Record Date shall be the Settlement Date and the Company shall cover any additional costs of the Manager in connection with the delivery of Shares on the Record Date.</w:t>
      </w:r>
    </w:p>
    <w:p>
      <w:pPr>
        <w:spacing w:after="0" w:line="74" w:lineRule="exact"/>
        <w:rPr>
          <w:rFonts w:ascii="Times New Roman" w:cs="Times New Roman" w:eastAsia="Times New Roman" w:hAnsi="Times New Roman"/>
          <w:sz w:val="17"/>
          <w:szCs w:val="17"/>
          <w:color w:val="auto"/>
        </w:rPr>
      </w:pPr>
    </w:p>
    <w:p>
      <w:pPr>
        <w:ind w:firstLine="403"/>
        <w:spacing w:after="0" w:line="252" w:lineRule="auto"/>
        <w:tabs>
          <w:tab w:leader="none" w:pos="629"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 Sales</w:t>
      </w:r>
      <w:r>
        <w:rPr>
          <w:rFonts w:ascii="Times New Roman" w:cs="Times New Roman" w:eastAsia="Times New Roman" w:hAnsi="Times New Roman"/>
          <w:sz w:val="17"/>
          <w:szCs w:val="17"/>
          <w:color w:val="auto"/>
        </w:rPr>
        <w:t>. If the Company wishes to sell the Shares pursuant to this Agreement in a manner other than as set forth in Section 2(b) of this Agreement (each, a “</w:t>
      </w:r>
      <w:r>
        <w:rPr>
          <w:rFonts w:ascii="Times New Roman" w:cs="Times New Roman" w:eastAsia="Times New Roman" w:hAnsi="Times New Roman"/>
          <w:sz w:val="17"/>
          <w:szCs w:val="17"/>
          <w:u w:val="single" w:color="auto"/>
          <w:color w:val="auto"/>
        </w:rPr>
        <w:t>Placement</w:t>
      </w:r>
      <w:r>
        <w:rPr>
          <w:rFonts w:ascii="Times New Roman" w:cs="Times New Roman" w:eastAsia="Times New Roman" w:hAnsi="Times New Roman"/>
          <w:sz w:val="17"/>
          <w:szCs w:val="17"/>
          <w:color w:val="auto"/>
        </w:rPr>
        <w:t>”), the Company will notify the Manager of the proposed terms of such Placement. If the Manager, acting as principal, wishes to accept such proposed terms (which it may decline to do for any reason in its sole discretion) or, following discussions with the Company wishes to accept amended terms, the Manager and the Company will enter into a Terms Agreement setting forth the terms of such Placement. The terms set forth in a Terms Agreement will not be binding on the Company or the Manager unless and until the Company and the Manager have each executed such Terms Agreement accepting all of the terms of such Terms Agreement. In the event of a conflict between the terms of this Agreement and the terms of a Terms Agreement, the terms of such Terms Agreement will control. A Terms Agreement may also specify certain provisions relating to the reoffering of such Shares by the Manager. The commitment of the Manager to purchase the Shares pursuant to any Terms Agreement shall be deemed to have been made on the basis of the representations and warranties of the Company herein contained and shall be subject to the terms and conditions herein set forth. Each Terms Agreement shall specify the number of the Shares to be purchased by the Manager pursuant thereto, the price to be paid to the Company for such Shares, any provisions relating to rights of, and default by, underwriters acting together with the Manager in the reoffering of the Shares, and the time and date (each such time and date being referred to herein as a “</w:t>
      </w:r>
      <w:r>
        <w:rPr>
          <w:rFonts w:ascii="Times New Roman" w:cs="Times New Roman" w:eastAsia="Times New Roman" w:hAnsi="Times New Roman"/>
          <w:sz w:val="17"/>
          <w:szCs w:val="17"/>
          <w:u w:val="single" w:color="auto"/>
          <w:color w:val="auto"/>
        </w:rPr>
        <w:t>Time of Delivery</w:t>
      </w:r>
      <w:r>
        <w:rPr>
          <w:rFonts w:ascii="Times New Roman" w:cs="Times New Roman" w:eastAsia="Times New Roman" w:hAnsi="Times New Roman"/>
          <w:sz w:val="17"/>
          <w:szCs w:val="17"/>
          <w:color w:val="auto"/>
        </w:rPr>
        <w:t>”) and place of delivery of and payment for such Shares. Such Terms Agreement shall also specify any requirements for opinions of counsel, accountants’ letters and officers’ certificates pursuant to Section 6 of this Agreement and any other information or documents required by the Manager.</w:t>
      </w:r>
    </w:p>
    <w:p>
      <w:pPr>
        <w:spacing w:after="0" w:line="11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9960"/>
          </w:cols>
          <w:pgMar w:left="1160" w:top="263" w:right="779" w:bottom="1440" w:gutter="0" w:footer="0" w:header="0"/>
        </w:sectPr>
      </w:pPr>
    </w:p>
    <w:bookmarkStart w:id="78" w:name="page79"/>
    <w:bookmarkEnd w:id="78"/>
    <w:p>
      <w:pPr>
        <w:ind w:left="400" w:firstLine="403"/>
        <w:spacing w:after="0" w:line="253" w:lineRule="auto"/>
        <w:tabs>
          <w:tab w:leader="none" w:pos="1039"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2">
                      <a:extLst>
                        <a:ext uri="{28A0092B-C50C-407E-A947-70E740481C1C}"/>
                      </a:extLst>
                    </a:blip>
                    <a:srcRect/>
                    <a:stretch>
                      <a:fillRect/>
                    </a:stretch>
                  </pic:blipFill>
                  <pic:spPr bwMode="auto">
                    <a:xfrm>
                      <a:off x="0" y="0"/>
                      <a:ext cx="7181850" cy="36830"/>
                    </a:xfrm>
                    <a:prstGeom prst="rect">
                      <a:avLst/>
                    </a:prstGeom>
                    <a:noFill/>
                  </pic:spPr>
                </pic:pic>
              </a:graphicData>
            </a:graphic>
          </wp:anchor>
        </w:drawing>
        <w:t>Maximum Number of Shares</w:t>
      </w:r>
      <w:r>
        <w:rPr>
          <w:rFonts w:ascii="Times New Roman" w:cs="Times New Roman" w:eastAsia="Times New Roman" w:hAnsi="Times New Roman"/>
          <w:sz w:val="17"/>
          <w:szCs w:val="17"/>
          <w:color w:val="auto"/>
        </w:rPr>
        <w:t>. Under no circumstances shall the Company cause or request the offer or sale of any Shares if, after giving effect to the sale of such Shares, the aggregate amount of Shares sold pursuant to this Agreement would exceed the lesser of (A) together with all sales of Shares under this Agreement, the Maximum Amount, (B) the amount available for offer and sale under the currently effective Registration Statement and (C) the amount authorized from time to time to be issued and sold under this Agreement by the Board, a duly authorized committee thereof or a duly authorized executive committee, and notified to the Manager in writing. Under no circumstances shall the Company cause or request the offer or sale of any Shares pursuant to this Agreement at a price lower than the minimum price authorized from time to time by the Board, a duly authorized committee thereof or a duly authorized executive officer, and notified to the Manager in writing. Further, under no circumstances shall the Company cause or permit the aggregate offering amount of Shares sold pursuant to this Agreement to exceed the Maximum Amount.</w:t>
      </w:r>
    </w:p>
    <w:p>
      <w:pPr>
        <w:spacing w:after="0" w:line="80" w:lineRule="exact"/>
        <w:rPr>
          <w:rFonts w:ascii="Times New Roman" w:cs="Times New Roman" w:eastAsia="Times New Roman" w:hAnsi="Times New Roman"/>
          <w:sz w:val="17"/>
          <w:szCs w:val="17"/>
          <w:color w:val="auto"/>
        </w:rPr>
      </w:pPr>
    </w:p>
    <w:p>
      <w:pPr>
        <w:ind w:left="400" w:right="60" w:firstLine="403"/>
        <w:spacing w:after="0" w:line="264" w:lineRule="auto"/>
        <w:tabs>
          <w:tab w:leader="none" w:pos="1029"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Regulation M Notice</w:t>
      </w:r>
      <w:r>
        <w:rPr>
          <w:rFonts w:ascii="Times New Roman" w:cs="Times New Roman" w:eastAsia="Times New Roman" w:hAnsi="Times New Roman"/>
          <w:sz w:val="17"/>
          <w:szCs w:val="17"/>
          <w:color w:val="auto"/>
        </w:rPr>
        <w:t>. Unless the exceptive provisions set forth in Rule 101(c)(1) of Regulation M under the Exchange Act are satisfied with respect to the Shares, the Company shall give the Manager at least one (1) Business Day’s prior notice of its intent to sell any Shares in order to allow the Manager time to comply with Regulation M.</w:t>
      </w:r>
    </w:p>
    <w:p>
      <w:pPr>
        <w:spacing w:after="0" w:line="169" w:lineRule="exact"/>
        <w:rPr>
          <w:rFonts w:ascii="Times New Roman" w:cs="Times New Roman" w:eastAsia="Times New Roman" w:hAnsi="Times New Roman"/>
          <w:sz w:val="17"/>
          <w:szCs w:val="17"/>
          <w:color w:val="auto"/>
        </w:rPr>
      </w:pPr>
    </w:p>
    <w:p>
      <w:pPr>
        <w:ind w:left="-20" w:right="160" w:firstLine="424"/>
        <w:spacing w:after="0" w:line="264" w:lineRule="auto"/>
        <w:tabs>
          <w:tab w:leader="none" w:pos="565"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 The Company represents and warrants to, and agrees with, the Manager at the Execution Time and the Effective Date and on each such time that the following representations and warranties are repeated or deemed to be made pursuant to this Agreement, as set forth below, except as set forth in the Registration Statement, the Prospectus or the Incorporated Documents.</w:t>
      </w:r>
    </w:p>
    <w:p>
      <w:pPr>
        <w:spacing w:after="0" w:line="68" w:lineRule="exact"/>
        <w:rPr>
          <w:rFonts w:ascii="Times New Roman" w:cs="Times New Roman" w:eastAsia="Times New Roman" w:hAnsi="Times New Roman"/>
          <w:sz w:val="17"/>
          <w:szCs w:val="17"/>
          <w:color w:val="auto"/>
        </w:rPr>
      </w:pPr>
    </w:p>
    <w:p>
      <w:pPr>
        <w:ind w:left="400" w:right="20" w:firstLine="403"/>
        <w:spacing w:after="0" w:line="255" w:lineRule="auto"/>
        <w:tabs>
          <w:tab w:leader="none" w:pos="1029"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Subsidiaries</w:t>
      </w:r>
      <w:r>
        <w:rPr>
          <w:rFonts w:ascii="Times New Roman" w:cs="Times New Roman" w:eastAsia="Times New Roman" w:hAnsi="Times New Roman"/>
          <w:sz w:val="17"/>
          <w:szCs w:val="17"/>
          <w:color w:val="auto"/>
        </w:rPr>
        <w:t>. All of the direct and indirect subsidiaries (individually, a “</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of the Company are set forth on Exhibit 21.1 to the Company’s most recent Annual Report on Form 10-K filed with the Commission. The Company owns, directly or indirectly, all of the capital stock or other equity interests of each Subsidiary free and clear of any “</w:t>
      </w:r>
      <w:r>
        <w:rPr>
          <w:rFonts w:ascii="Times New Roman" w:cs="Times New Roman" w:eastAsia="Times New Roman" w:hAnsi="Times New Roman"/>
          <w:sz w:val="17"/>
          <w:szCs w:val="17"/>
          <w:u w:val="single" w:color="auto"/>
          <w:color w:val="auto"/>
        </w:rPr>
        <w:t>Liens</w:t>
      </w:r>
      <w:r>
        <w:rPr>
          <w:rFonts w:ascii="Times New Roman" w:cs="Times New Roman" w:eastAsia="Times New Roman" w:hAnsi="Times New Roman"/>
          <w:sz w:val="17"/>
          <w:szCs w:val="17"/>
          <w:color w:val="auto"/>
        </w:rPr>
        <w:t>” (which for purposes of this Agreement shall mean a lien, charge, security interest, encumbrance, right of first refusal, preemptive right or other restriction), and all of the issued and outstanding shares of capital stock of each Subsidiary are validly issued and are fully paid, non-assessable and free of preemptive and similar rights to subscribe for or purchase securities.</w:t>
      </w:r>
    </w:p>
    <w:p>
      <w:pPr>
        <w:spacing w:after="0" w:line="78" w:lineRule="exact"/>
        <w:rPr>
          <w:rFonts w:ascii="Times New Roman" w:cs="Times New Roman" w:eastAsia="Times New Roman" w:hAnsi="Times New Roman"/>
          <w:sz w:val="17"/>
          <w:szCs w:val="17"/>
          <w:color w:val="auto"/>
        </w:rPr>
      </w:pPr>
    </w:p>
    <w:p>
      <w:pPr>
        <w:jc w:val="both"/>
        <w:ind w:left="400" w:right="40" w:firstLine="403"/>
        <w:spacing w:after="0" w:line="259" w:lineRule="auto"/>
        <w:tabs>
          <w:tab w:leader="none" w:pos="1039"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Organization and Qualification</w:t>
      </w:r>
      <w:r>
        <w:rPr>
          <w:rFonts w:ascii="Times New Roman" w:cs="Times New Roman" w:eastAsia="Times New Roman" w:hAnsi="Times New Roman"/>
          <w:sz w:val="17"/>
          <w:szCs w:val="17"/>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in default of any of the provisions of its respective certificate or articles of incorporation, bylaws or other organizational or</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0380"/>
          </w:cols>
          <w:pgMar w:left="760" w:top="263" w:right="759" w:bottom="1440" w:gutter="0" w:footer="0" w:header="0"/>
        </w:sectPr>
      </w:pPr>
    </w:p>
    <w:bookmarkStart w:id="79" w:name="page80"/>
    <w:bookmarkEnd w:id="79"/>
    <w:p>
      <w:pPr>
        <w:ind w:right="160"/>
        <w:spacing w:after="0" w:line="25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3">
                      <a:extLst>
                        <a:ext uri="{28A0092B-C50C-407E-A947-70E740481C1C}"/>
                      </a:extLst>
                    </a:blip>
                    <a:srcRect/>
                    <a:stretch>
                      <a:fillRect/>
                    </a:stretch>
                  </pic:blipFill>
                  <pic:spPr bwMode="auto">
                    <a:xfrm>
                      <a:off x="0" y="0"/>
                      <a:ext cx="7181850" cy="36830"/>
                    </a:xfrm>
                    <a:prstGeom prst="rect">
                      <a:avLst/>
                    </a:prstGeom>
                    <a:noFill/>
                  </pic:spPr>
                </pic:pic>
              </a:graphicData>
            </a:graphic>
          </wp:anchor>
        </w:drawing>
        <w:t>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this Agreement, (ii) a material adverse effect on the results of operations, assets, business, prospects or condition (financial or otherwise) of the Company and the Subsidiaries, taken as a whole, from that set forth in the Registration Statement, the Base Prospectus, the ATM Prospectus, any Prospectus Supplement, the Prospectus or the Incorporated Documents, or (iii) a material adverse effect on the Company’s ability to perform in any material respect on a timely basis its obligations under this Agreement (any of (i), (ii) or (iii), a “</w:t>
      </w:r>
      <w:r>
        <w:rPr>
          <w:rFonts w:ascii="Times New Roman" w:cs="Times New Roman" w:eastAsia="Times New Roman" w:hAnsi="Times New Roman"/>
          <w:sz w:val="17"/>
          <w:szCs w:val="17"/>
          <w:u w:val="single" w:color="auto"/>
          <w:color w:val="auto"/>
        </w:rPr>
        <w:t>Material Adverse Effect</w:t>
      </w:r>
      <w:r>
        <w:rPr>
          <w:rFonts w:ascii="Times New Roman" w:cs="Times New Roman" w:eastAsia="Times New Roman" w:hAnsi="Times New Roman"/>
          <w:sz w:val="17"/>
          <w:szCs w:val="17"/>
          <w:color w:val="auto"/>
        </w:rPr>
        <w:t>”) and no “</w:t>
      </w:r>
      <w:r>
        <w:rPr>
          <w:rFonts w:ascii="Times New Roman" w:cs="Times New Roman" w:eastAsia="Times New Roman" w:hAnsi="Times New Roman"/>
          <w:sz w:val="17"/>
          <w:szCs w:val="17"/>
          <w:u w:val="single" w:color="auto"/>
          <w:color w:val="auto"/>
        </w:rPr>
        <w:t>Proceeding</w:t>
      </w:r>
      <w:r>
        <w:rPr>
          <w:rFonts w:ascii="Times New Roman" w:cs="Times New Roman" w:eastAsia="Times New Roman" w:hAnsi="Times New Roman"/>
          <w:sz w:val="17"/>
          <w:szCs w:val="17"/>
          <w:color w:val="auto"/>
        </w:rPr>
        <w:t>” (which for purposes of this Agreement shall mean any action, claim, suit, investigation or proceeding (including, without limitation, an informal investigation or partial proceeding, such as a deposition), whether commenced or, to the Company’s knowledge, threatened) has been instituted in any such jurisdiction revoking, limiting or curtailing or seeking to revoke, limit or curtail such power and authority or qualification.</w:t>
      </w:r>
    </w:p>
    <w:p>
      <w:pPr>
        <w:spacing w:after="0" w:line="76" w:lineRule="exact"/>
        <w:rPr>
          <w:sz w:val="20"/>
          <w:szCs w:val="20"/>
          <w:color w:val="auto"/>
        </w:rPr>
      </w:pPr>
    </w:p>
    <w:p>
      <w:pPr>
        <w:ind w:firstLine="403"/>
        <w:spacing w:after="0" w:line="253" w:lineRule="auto"/>
        <w:tabs>
          <w:tab w:leader="none" w:pos="629"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Authorization and Enforcement</w:t>
      </w:r>
      <w:r>
        <w:rPr>
          <w:rFonts w:ascii="Times New Roman" w:cs="Times New Roman" w:eastAsia="Times New Roman" w:hAnsi="Times New Roman"/>
          <w:sz w:val="17"/>
          <w:szCs w:val="17"/>
          <w:color w:val="auto"/>
        </w:rPr>
        <w:t>. The Company has the requisite corporate power and authority to enter into and to consummate the transactions contemplated by this Agreement and otherwise to carry out its obligations hereunder. The execution and delivery of this Agreement by the Company and the consummation by it of the transactions contemplated hereby have been duly authorized by all necessary action on the part of the Company and no further action is required by the Company, the Board or the Company’s stockholders in connection herewith other than in connection with the Required Approvals. This Agreement has been duly executed and delivered by the Company and, when delivered in accordance with the terms 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78" w:lineRule="exact"/>
        <w:rPr>
          <w:rFonts w:ascii="Times New Roman" w:cs="Times New Roman" w:eastAsia="Times New Roman" w:hAnsi="Times New Roman"/>
          <w:sz w:val="17"/>
          <w:szCs w:val="17"/>
          <w:color w:val="auto"/>
        </w:rPr>
      </w:pPr>
    </w:p>
    <w:p>
      <w:pPr>
        <w:ind w:right="20" w:firstLine="403"/>
        <w:spacing w:after="0" w:line="257" w:lineRule="auto"/>
        <w:tabs>
          <w:tab w:leader="none" w:pos="639"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Conflicts</w:t>
      </w:r>
      <w:r>
        <w:rPr>
          <w:rFonts w:ascii="Times New Roman" w:cs="Times New Roman" w:eastAsia="Times New Roman" w:hAnsi="Times New Roman"/>
          <w:sz w:val="17"/>
          <w:szCs w:val="17"/>
          <w:color w:val="auto"/>
        </w:rPr>
        <w:t>. The execution, delivery and performance by the Company of this Agreement, the issuance and sale of the Shares and the consummation by it of the transactions contemplated 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w:t>
      </w:r>
    </w:p>
    <w:p>
      <w:pPr>
        <w:spacing w:after="0" w:line="11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9940"/>
          </w:cols>
          <w:pgMar w:left="1160" w:top="263" w:right="799" w:bottom="1440" w:gutter="0" w:footer="0" w:header="0"/>
        </w:sectPr>
      </w:pPr>
    </w:p>
    <w:bookmarkStart w:id="80" w:name="page81"/>
    <w:bookmarkEnd w:id="80"/>
    <w:p>
      <w:pPr>
        <w:ind w:right="20"/>
        <w:spacing w:after="0" w:line="27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4">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individually or in the aggregate, have or reasonably be expected to result in a Material Adverse Effect.</w:t>
      </w:r>
    </w:p>
    <w:p>
      <w:pPr>
        <w:spacing w:after="0" w:line="63" w:lineRule="exact"/>
        <w:rPr>
          <w:sz w:val="20"/>
          <w:szCs w:val="20"/>
          <w:color w:val="auto"/>
        </w:rPr>
      </w:pPr>
    </w:p>
    <w:p>
      <w:pPr>
        <w:ind w:right="60" w:firstLine="403"/>
        <w:spacing w:after="0" w:line="253" w:lineRule="auto"/>
        <w:tabs>
          <w:tab w:leader="none" w:pos="629"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Filings, Consents and Approvals.</w:t>
      </w:r>
      <w:r>
        <w:rPr>
          <w:rFonts w:ascii="Times New Roman" w:cs="Times New Roman" w:eastAsia="Times New Roman" w:hAnsi="Times New Roman"/>
          <w:sz w:val="17"/>
          <w:szCs w:val="17"/>
          <w:color w:val="auto"/>
        </w:rPr>
        <w:t xml:space="preserve"> The Company is not required to obtain any consent, waiver, authorization or order of, give any notice to, or make any filing or registration with, any court or other federal, state, local or other governmental authority or other “Person” (defined as an individual or corporation, partnership, trust, incorporated or unincorporated association, joint venture, limited liability company, joint stock company, government (or an agency or subdivision thereof) or other entity of any kind, including the Trading Market) in connection with the execution, delivery and performance by the Company of this Agreement, other than (i) the filings required by this Agreement, (ii) the filing with the Commission of the Prospectus or any Prospectus Supplement related to this Agreement, (iii) the filing of application(s) to and approval by the Trading Market for the listing of the Shares for trading thereon in the time and manner required thereby, and (iv) such filings as are required to be made under applicable state securities laws and the rules and regulations of the Financial Industry Regulatory Authority, Inc. (“</w:t>
      </w:r>
      <w:r>
        <w:rPr>
          <w:rFonts w:ascii="Times New Roman" w:cs="Times New Roman" w:eastAsia="Times New Roman" w:hAnsi="Times New Roman"/>
          <w:sz w:val="17"/>
          <w:szCs w:val="17"/>
          <w:u w:val="single" w:color="auto"/>
          <w:color w:val="auto"/>
        </w:rPr>
        <w:t>FINRA</w:t>
      </w:r>
      <w:r>
        <w:rPr>
          <w:rFonts w:ascii="Times New Roman" w:cs="Times New Roman" w:eastAsia="Times New Roman" w:hAnsi="Times New Roman"/>
          <w:sz w:val="17"/>
          <w:szCs w:val="17"/>
          <w:color w:val="auto"/>
        </w:rPr>
        <w:t>”) (collectively, the “</w:t>
      </w:r>
      <w:r>
        <w:rPr>
          <w:rFonts w:ascii="Times New Roman" w:cs="Times New Roman" w:eastAsia="Times New Roman" w:hAnsi="Times New Roman"/>
          <w:sz w:val="17"/>
          <w:szCs w:val="17"/>
          <w:u w:val="single" w:color="auto"/>
          <w:color w:val="auto"/>
        </w:rPr>
        <w:t>Required Approvals</w:t>
      </w:r>
      <w:r>
        <w:rPr>
          <w:rFonts w:ascii="Times New Roman" w:cs="Times New Roman" w:eastAsia="Times New Roman" w:hAnsi="Times New Roman"/>
          <w:sz w:val="17"/>
          <w:szCs w:val="17"/>
          <w:color w:val="auto"/>
        </w:rPr>
        <w:t>”).</w:t>
      </w:r>
    </w:p>
    <w:p>
      <w:pPr>
        <w:spacing w:after="0" w:line="80" w:lineRule="exact"/>
        <w:rPr>
          <w:rFonts w:ascii="Times New Roman" w:cs="Times New Roman" w:eastAsia="Times New Roman" w:hAnsi="Times New Roman"/>
          <w:sz w:val="17"/>
          <w:szCs w:val="17"/>
          <w:color w:val="auto"/>
        </w:rPr>
      </w:pPr>
    </w:p>
    <w:p>
      <w:pPr>
        <w:ind w:firstLine="403"/>
        <w:spacing w:after="0" w:line="253" w:lineRule="auto"/>
        <w:tabs>
          <w:tab w:leader="none" w:pos="611"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Issuance of Shares</w:t>
      </w:r>
      <w:r>
        <w:rPr>
          <w:rFonts w:ascii="Times New Roman" w:cs="Times New Roman" w:eastAsia="Times New Roman" w:hAnsi="Times New Roman"/>
          <w:sz w:val="17"/>
          <w:szCs w:val="17"/>
          <w:color w:val="auto"/>
        </w:rPr>
        <w:t>. The Shares are duly authorized and, when issued and paid for in accordance with this Agreement, will be duly and validly issued, fully paid and nonassessable, free and clear of all Liens imposed by the Company. The Company has reserved from its duly authorized capital stock the maximum number of shares of Common Stock issuable pursuant to this Agreement. On or after the Effective Date, the issuance by the Company of the Shares has been registered under the Act and all of the Shares are freely transferable and tradable by the purchasers thereof without restriction (other than any restrictions arising solely from an act or omission of such a purchaser). On or after the Effective Date, the Shares are being issued pursuant to the Registration Statement and the issuance of the Shares has been registered by the Company under the Act. The “</w:t>
      </w:r>
      <w:r>
        <w:rPr>
          <w:rFonts w:ascii="Times New Roman" w:cs="Times New Roman" w:eastAsia="Times New Roman" w:hAnsi="Times New Roman"/>
          <w:sz w:val="17"/>
          <w:szCs w:val="17"/>
          <w:u w:val="single" w:color="auto"/>
          <w:color w:val="auto"/>
        </w:rPr>
        <w:t>Plan of Distribution</w:t>
      </w:r>
      <w:r>
        <w:rPr>
          <w:rFonts w:ascii="Times New Roman" w:cs="Times New Roman" w:eastAsia="Times New Roman" w:hAnsi="Times New Roman"/>
          <w:sz w:val="17"/>
          <w:szCs w:val="17"/>
          <w:color w:val="auto"/>
        </w:rPr>
        <w:t>” section within the Registration Statement permits the issuance and sale of the Shares as contemplated by this Agreement. Upon receipt of the Shares, the purchasers of such Shares will have good and marketable title to such Shares and the Shares will be freely tradable on the Trading Market.</w:t>
      </w:r>
    </w:p>
    <w:p>
      <w:pPr>
        <w:spacing w:after="0" w:line="11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9960"/>
          </w:cols>
          <w:pgMar w:left="1160" w:top="263" w:right="779" w:bottom="1440" w:gutter="0" w:footer="0" w:header="0"/>
        </w:sectPr>
      </w:pPr>
    </w:p>
    <w:bookmarkStart w:id="81" w:name="page82"/>
    <w:bookmarkEnd w:id="81"/>
    <w:p>
      <w:pPr>
        <w:ind w:firstLine="403"/>
        <w:spacing w:after="0" w:line="251" w:lineRule="auto"/>
        <w:tabs>
          <w:tab w:leader="none" w:pos="639"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5">
                      <a:extLst>
                        <a:ext uri="{28A0092B-C50C-407E-A947-70E740481C1C}"/>
                      </a:extLst>
                    </a:blip>
                    <a:srcRect/>
                    <a:stretch>
                      <a:fillRect/>
                    </a:stretch>
                  </pic:blipFill>
                  <pic:spPr bwMode="auto">
                    <a:xfrm>
                      <a:off x="0" y="0"/>
                      <a:ext cx="7181850" cy="36830"/>
                    </a:xfrm>
                    <a:prstGeom prst="rect">
                      <a:avLst/>
                    </a:prstGeom>
                    <a:noFill/>
                  </pic:spPr>
                </pic:pic>
              </a:graphicData>
            </a:graphic>
          </wp:anchor>
        </w:drawing>
        <w:t>Capitalization</w:t>
      </w:r>
      <w:r>
        <w:rPr>
          <w:rFonts w:ascii="Times New Roman" w:cs="Times New Roman" w:eastAsia="Times New Roman" w:hAnsi="Times New Roman"/>
          <w:sz w:val="17"/>
          <w:szCs w:val="17"/>
          <w:color w:val="auto"/>
        </w:rPr>
        <w:t>. The capitalization of the Company is as set forth in the SEC Reports. The Company has not issued any capital stock since its most recently filed periodic report under the Exchange Act, other than as disclosed in subsequent SEC Reports or pursuant to the exercise of employee equity awards under the Company’s equity award plans, the issuance of shares of Common Stock to employees pursuant to the Company’s equity award plans and pursuant to the conversion and/or exercise of securities exercisable, exchangeable or convertible into Common Stock (“</w:t>
      </w:r>
      <w:r>
        <w:rPr>
          <w:rFonts w:ascii="Times New Roman" w:cs="Times New Roman" w:eastAsia="Times New Roman" w:hAnsi="Times New Roman"/>
          <w:sz w:val="17"/>
          <w:szCs w:val="17"/>
          <w:u w:val="single" w:color="auto"/>
          <w:color w:val="auto"/>
        </w:rPr>
        <w:t>Common Stock Equivalents</w:t>
      </w:r>
      <w:r>
        <w:rPr>
          <w:rFonts w:ascii="Times New Roman" w:cs="Times New Roman" w:eastAsia="Times New Roman" w:hAnsi="Times New Roman"/>
          <w:sz w:val="17"/>
          <w:szCs w:val="17"/>
          <w:color w:val="auto"/>
        </w:rPr>
        <w:t>”) outstanding as of the date of the most recently filed periodic report under the Exchange Act. No Person has any right of first refusal, preemptive right, right of participation, or any similar right to participate in the transactions contemplated by this Agreement. Except as set forth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Shares will not obligate the Company or any Subsidiary to issue shares of Common Stock or other securities to any Person. Other than as disclosed in the SEC reports,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or others is required for the issuance and sale of the Shares.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85" w:lineRule="exact"/>
        <w:rPr>
          <w:rFonts w:ascii="Times New Roman" w:cs="Times New Roman" w:eastAsia="Times New Roman" w:hAnsi="Times New Roman"/>
          <w:sz w:val="17"/>
          <w:szCs w:val="17"/>
          <w:color w:val="auto"/>
        </w:rPr>
      </w:pPr>
    </w:p>
    <w:p>
      <w:pPr>
        <w:ind w:right="120" w:firstLine="403"/>
        <w:spacing w:after="0" w:line="259" w:lineRule="auto"/>
        <w:tabs>
          <w:tab w:leader="none" w:pos="639"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The Company meets the requirements for use of Form S-3 under the Act and has prepared and filed (or will file concurrently with the execution of this Agreement) with the Commission the Registration Statement, including a related Base Prospectus and ATM Prospectus, for registration under the Act of the offering and sale of the Shares. On or after the Effective Date, such Registration Statement is effective and available for the offer</w:t>
      </w:r>
    </w:p>
    <w:p>
      <w:pPr>
        <w:spacing w:after="0" w:line="11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9980"/>
          </w:cols>
          <w:pgMar w:left="1160" w:top="263" w:right="759" w:bottom="1440" w:gutter="0" w:footer="0" w:header="0"/>
        </w:sectPr>
      </w:pPr>
    </w:p>
    <w:bookmarkStart w:id="82" w:name="page83"/>
    <w:bookmarkEnd w:id="82"/>
    <w:p>
      <w:pPr>
        <w:ind w:right="80"/>
        <w:spacing w:after="0" w:line="25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6">
                      <a:extLst>
                        <a:ext uri="{28A0092B-C50C-407E-A947-70E740481C1C}"/>
                      </a:extLst>
                    </a:blip>
                    <a:srcRect/>
                    <a:stretch>
                      <a:fillRect/>
                    </a:stretch>
                  </pic:blipFill>
                  <pic:spPr bwMode="auto">
                    <a:xfrm>
                      <a:off x="0" y="0"/>
                      <a:ext cx="7181850" cy="36830"/>
                    </a:xfrm>
                    <a:prstGeom prst="rect">
                      <a:avLst/>
                    </a:prstGeom>
                    <a:noFill/>
                  </pic:spPr>
                </pic:pic>
              </a:graphicData>
            </a:graphic>
          </wp:anchor>
        </w:drawing>
        <w:t>and sale of the Shares as of the date hereof. As filed, the Base Prospectus contains all information required by the Act and the rules thereunder, and, except to the extent the Manager shall agree in writing to a modification, shall be in all substantive respects in the form furnished to the Manager prior to the Execution Time or prior to any such time this representation is repeated or deemed to be made. The Registration Statement, at the Execution Time, each such time this representation is repeated or deemed to be made, and at all times during which a prospectus is required by the Act to be delivered (whether physically or through compliance with Rule 172, 173 or any similar rule) in connection with any offer or sale of the Shares, meets the requirements set forth in Rule 415(a)(1)(x). The Company meets the transaction requirements as set forth in General Instruction I.B.1 of Form S-3 or, if applicable, as set forth in General Instruction I.B.6 of Form S-3 with respect to the aggregate market value of securities being sold pursuant to this offering and during the twelve (12) months prior to this offering.</w:t>
      </w:r>
    </w:p>
    <w:p>
      <w:pPr>
        <w:spacing w:after="0" w:line="77" w:lineRule="exact"/>
        <w:rPr>
          <w:sz w:val="20"/>
          <w:szCs w:val="20"/>
          <w:color w:val="auto"/>
        </w:rPr>
      </w:pPr>
    </w:p>
    <w:p>
      <w:pPr>
        <w:ind w:firstLine="403"/>
        <w:spacing w:after="0" w:line="254" w:lineRule="auto"/>
        <w:tabs>
          <w:tab w:leader="none" w:pos="601"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Accuracy of Incorporated Documents</w:t>
      </w:r>
      <w:r>
        <w:rPr>
          <w:rFonts w:ascii="Times New Roman" w:cs="Times New Roman" w:eastAsia="Times New Roman" w:hAnsi="Times New Roman"/>
          <w:sz w:val="17"/>
          <w:szCs w:val="17"/>
          <w:color w:val="auto"/>
        </w:rPr>
        <w:t>. The Incorporated Documents, when they were filed with the Commission, conformed in all material respects to the requirements of the Exchange Act and the rules thereunder, and none of the Incorporated Documents, when they were filed with the Commission, contained any untrue statement of a material fact or omitted to state a material fact necessary to make the statements therein, in the light of the circumstances under which they were made not misleading; and any further documents so filed and incorporated by reference in the Registration Statement, the Base Prospectus, the ATM Prospectus, the Prospectus or any Prospectus Supplement, when such documents are filed with the Commission, will conform in all material respects to the requirements of the Exchange Act and the rules thereunder, as applicable, and will not contain any untrue statement of a material fact or omit to state a material fact necessary to make the statements therein, in the light of the circumstances under which they were made, not misleading.</w:t>
      </w:r>
    </w:p>
    <w:p>
      <w:pPr>
        <w:spacing w:after="0" w:line="76" w:lineRule="exact"/>
        <w:rPr>
          <w:rFonts w:ascii="Times New Roman" w:cs="Times New Roman" w:eastAsia="Times New Roman" w:hAnsi="Times New Roman"/>
          <w:sz w:val="17"/>
          <w:szCs w:val="17"/>
          <w:color w:val="auto"/>
        </w:rPr>
      </w:pPr>
    </w:p>
    <w:p>
      <w:pPr>
        <w:ind w:right="320" w:firstLine="403"/>
        <w:spacing w:after="0" w:line="257" w:lineRule="auto"/>
        <w:tabs>
          <w:tab w:leader="none" w:pos="601"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Ineligible Issuer</w:t>
      </w:r>
      <w:r>
        <w:rPr>
          <w:rFonts w:ascii="Times New Roman" w:cs="Times New Roman" w:eastAsia="Times New Roman" w:hAnsi="Times New Roman"/>
          <w:sz w:val="17"/>
          <w:szCs w:val="17"/>
          <w:color w:val="auto"/>
        </w:rPr>
        <w:t>. (i) At the earliest time after the filing of the Registration Statement that the Company or another offering participant made a bona fide offer (within the meaning of Rule 164(h)(2)) of the Shares and (ii) as of the Execution Time and on each such time this representation is repeated or deemed to be made (with such date being used as the determination date for purposes of this clause (ii)), the Company was not and is not an Ineligible Issuer (as defined in Rule 405), without taking account of any determination by the Commission pursuant to Rule 405 that it is not necessary that the Company be considered an Ineligible Issuer.</w:t>
      </w:r>
    </w:p>
    <w:p>
      <w:pPr>
        <w:spacing w:after="0" w:line="73" w:lineRule="exact"/>
        <w:rPr>
          <w:rFonts w:ascii="Times New Roman" w:cs="Times New Roman" w:eastAsia="Times New Roman" w:hAnsi="Times New Roman"/>
          <w:sz w:val="17"/>
          <w:szCs w:val="17"/>
          <w:color w:val="auto"/>
        </w:rPr>
      </w:pPr>
    </w:p>
    <w:p>
      <w:pPr>
        <w:jc w:val="both"/>
        <w:ind w:right="40" w:firstLine="403"/>
        <w:spacing w:after="0" w:line="259" w:lineRule="auto"/>
        <w:tabs>
          <w:tab w:leader="none" w:pos="639"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Free Writing Prospectus</w:t>
      </w:r>
      <w:r>
        <w:rPr>
          <w:rFonts w:ascii="Times New Roman" w:cs="Times New Roman" w:eastAsia="Times New Roman" w:hAnsi="Times New Roman"/>
          <w:sz w:val="17"/>
          <w:szCs w:val="17"/>
          <w:color w:val="auto"/>
        </w:rPr>
        <w:t>. The Company is eligible to use Issuer Free Writing Prospectuses. Each Issuer Free Writing Prospectus does not include any information the substance of which conflicts with the information contained in the Registration Statement, including any Incorporated Documents and any prospectus supplement deemed to be a part thereof that has not been superseded or modified; and each Issuer Free Writing Prospectus does not contain any untrue statement of</w:t>
      </w:r>
    </w:p>
    <w:p>
      <w:pPr>
        <w:spacing w:after="0" w:line="11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9980"/>
          </w:cols>
          <w:pgMar w:left="1160" w:top="263" w:right="759" w:bottom="1440" w:gutter="0" w:footer="0" w:header="0"/>
        </w:sectPr>
      </w:pPr>
    </w:p>
    <w:bookmarkStart w:id="83" w:name="page84"/>
    <w:bookmarkEnd w:id="83"/>
    <w:p>
      <w:pPr>
        <w:ind w:right="180"/>
        <w:spacing w:after="0" w:line="25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7">
                      <a:extLst>
                        <a:ext uri="{28A0092B-C50C-407E-A947-70E740481C1C}"/>
                      </a:extLst>
                    </a:blip>
                    <a:srcRect/>
                    <a:stretch>
                      <a:fillRect/>
                    </a:stretch>
                  </pic:blipFill>
                  <pic:spPr bwMode="auto">
                    <a:xfrm>
                      <a:off x="0" y="0"/>
                      <a:ext cx="7181850" cy="36830"/>
                    </a:xfrm>
                    <a:prstGeom prst="rect">
                      <a:avLst/>
                    </a:prstGeom>
                    <a:noFill/>
                  </pic:spPr>
                </pic:pic>
              </a:graphicData>
            </a:graphic>
          </wp:anchor>
        </w:drawing>
        <w:t>a material fact or omit to state any material fact necessary in order to make the statements therein, in the light of the circumstances under which they were made, not misleading. The foregoing sentence does not apply to statements in or omissions from any Issuer Free Writing Prospectus based upon and in conformity with written information furnished to the Company by the Manager specifically for use therein. Any Issuer Free Writing Prospectus that the Company is required to file pursuant to Rule 433(d) has been, or will be, filed with the Commission in accordance with the requirements of the Act and the rules thereunder. Each Issuer Free Writing Prospectus that the Company has filed, or is required to file, pursuant to Rule 433(d) or that was prepared by or behalf of or used by the Company complies or will comply in all material respects with the requirements of the Act and the rules thereunder. The Company will not, without the prior consent of the Manager, prepare, use or refer to, any Issuer Free Writing Prospectuses.</w:t>
      </w:r>
    </w:p>
    <w:p>
      <w:pPr>
        <w:spacing w:after="0" w:line="77" w:lineRule="exact"/>
        <w:rPr>
          <w:sz w:val="20"/>
          <w:szCs w:val="20"/>
          <w:color w:val="auto"/>
        </w:rPr>
      </w:pPr>
    </w:p>
    <w:p>
      <w:pPr>
        <w:ind w:firstLine="403"/>
        <w:spacing w:after="0" w:line="257" w:lineRule="auto"/>
        <w:tabs>
          <w:tab w:leader="none" w:pos="601"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Proceedings Related to Registration Statement</w:t>
      </w:r>
      <w:r>
        <w:rPr>
          <w:rFonts w:ascii="Times New Roman" w:cs="Times New Roman" w:eastAsia="Times New Roman" w:hAnsi="Times New Roman"/>
          <w:sz w:val="17"/>
          <w:szCs w:val="17"/>
          <w:color w:val="auto"/>
        </w:rPr>
        <w:t>. The Registration Statement is not the subject of a pending proceeding or examination under Section 8(d) or 8(e) of the Act, and the Company is not the subject of a pending proceeding under Section 8A of the Act in connection with the offering of the Shares. The Company has not received any notice that the Commission has issued or intends to issue a stop-order with respect to the Registration Statement or that the Commission otherwise has suspended or withdrawn the effectiveness of the Registration Statement, either temporarily or permanently, or intends or has threatened in writing to do so.</w:t>
      </w:r>
    </w:p>
    <w:p>
      <w:pPr>
        <w:spacing w:after="0" w:line="73" w:lineRule="exact"/>
        <w:rPr>
          <w:rFonts w:ascii="Times New Roman" w:cs="Times New Roman" w:eastAsia="Times New Roman" w:hAnsi="Times New Roman"/>
          <w:sz w:val="17"/>
          <w:szCs w:val="17"/>
          <w:color w:val="auto"/>
        </w:rPr>
      </w:pPr>
    </w:p>
    <w:p>
      <w:pPr>
        <w:ind w:firstLine="403"/>
        <w:spacing w:after="0" w:line="252" w:lineRule="auto"/>
        <w:tabs>
          <w:tab w:leader="none" w:pos="686"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 Reports</w:t>
      </w:r>
      <w:r>
        <w:rPr>
          <w:rFonts w:ascii="Times New Roman" w:cs="Times New Roman" w:eastAsia="Times New Roman" w:hAnsi="Times New Roman"/>
          <w:sz w:val="17"/>
          <w:szCs w:val="17"/>
          <w:color w:val="auto"/>
        </w:rPr>
        <w:t>. The Company has filed all reports, schedules, forms, statements and other documents required to be filed by the Company under the Act and the Exchange Act, including pursuant to Section 13(a) or 15(d) thereof, for the two (2) years preceding the date hereof (or such shorter period as the Company was required by law or regulation to file such material) (the foregoing materials, including the exhibits thereto and documents incorporated by reference therein, together with the Prospectus, being collectively referred to herein as the “</w:t>
      </w:r>
      <w:r>
        <w:rPr>
          <w:rFonts w:ascii="Times New Roman" w:cs="Times New Roman" w:eastAsia="Times New Roman" w:hAnsi="Times New Roman"/>
          <w:sz w:val="17"/>
          <w:szCs w:val="17"/>
          <w:u w:val="single" w:color="auto"/>
          <w:color w:val="auto"/>
        </w:rPr>
        <w:t>SEC Reports</w:t>
      </w:r>
      <w:r>
        <w:rPr>
          <w:rFonts w:ascii="Times New Roman" w:cs="Times New Roman" w:eastAsia="Times New Roman" w:hAnsi="Times New Roman"/>
          <w:sz w:val="17"/>
          <w:szCs w:val="17"/>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No other financial statements or supporting schedules are required to be</w:t>
      </w:r>
    </w:p>
    <w:p>
      <w:pPr>
        <w:spacing w:after="0" w:line="12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9960"/>
          </w:cols>
          <w:pgMar w:left="1160" w:top="263" w:right="779" w:bottom="1440" w:gutter="0" w:footer="0" w:header="0"/>
        </w:sectPr>
      </w:pPr>
    </w:p>
    <w:bookmarkStart w:id="84" w:name="page85"/>
    <w:bookmarkEnd w:id="84"/>
    <w:p>
      <w:pPr>
        <w:ind w:right="180"/>
        <w:spacing w:after="0" w:line="25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8">
                      <a:extLst>
                        <a:ext uri="{28A0092B-C50C-407E-A947-70E740481C1C}"/>
                      </a:extLst>
                    </a:blip>
                    <a:srcRect/>
                    <a:stretch>
                      <a:fillRect/>
                    </a:stretch>
                  </pic:blipFill>
                  <pic:spPr bwMode="auto">
                    <a:xfrm>
                      <a:off x="0" y="0"/>
                      <a:ext cx="7181850" cy="36830"/>
                    </a:xfrm>
                    <a:prstGeom prst="rect">
                      <a:avLst/>
                    </a:prstGeom>
                    <a:noFill/>
                  </pic:spPr>
                </pic:pic>
              </a:graphicData>
            </a:graphic>
          </wp:anchor>
        </w:drawing>
        <w:t>included in the Registration Statement, the ATM Prospectus, any Prospectus Supplement or the Prospectus.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7"/>
          <w:szCs w:val="17"/>
          <w:u w:val="single" w:color="auto"/>
          <w:color w:val="auto"/>
        </w:rPr>
        <w:t>GAAP</w:t>
      </w:r>
      <w:r>
        <w:rPr>
          <w:rFonts w:ascii="Times New Roman" w:cs="Times New Roman" w:eastAsia="Times New Roman" w:hAnsi="Times New Roman"/>
          <w:sz w:val="17"/>
          <w:szCs w:val="17"/>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78" w:lineRule="exact"/>
        <w:rPr>
          <w:sz w:val="20"/>
          <w:szCs w:val="20"/>
          <w:color w:val="auto"/>
        </w:rPr>
      </w:pPr>
    </w:p>
    <w:p>
      <w:pPr>
        <w:ind w:right="240" w:firstLine="403"/>
        <w:spacing w:after="0" w:line="264" w:lineRule="auto"/>
        <w:tabs>
          <w:tab w:leader="none" w:pos="639"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Statistical and Market-Related Data</w:t>
      </w:r>
      <w:r>
        <w:rPr>
          <w:rFonts w:ascii="Times New Roman" w:cs="Times New Roman" w:eastAsia="Times New Roman" w:hAnsi="Times New Roman"/>
          <w:sz w:val="17"/>
          <w:szCs w:val="17"/>
          <w:color w:val="auto"/>
        </w:rPr>
        <w:t>. All statistical, demographic and market related data included in the Registration Statement or the Prospectus are based on or derived from sources that the Company believes, after reasonable inquiry, to be reliable and accurate. To the extent required, the Company has obtained the written consent for the use of such data from such sources.</w:t>
      </w:r>
    </w:p>
    <w:p>
      <w:pPr>
        <w:spacing w:after="0" w:line="68" w:lineRule="exact"/>
        <w:rPr>
          <w:rFonts w:ascii="Times New Roman" w:cs="Times New Roman" w:eastAsia="Times New Roman" w:hAnsi="Times New Roman"/>
          <w:sz w:val="17"/>
          <w:szCs w:val="17"/>
          <w:color w:val="auto"/>
        </w:rPr>
      </w:pPr>
    </w:p>
    <w:p>
      <w:pPr>
        <w:ind w:firstLine="403"/>
        <w:spacing w:after="0" w:line="252" w:lineRule="auto"/>
        <w:tabs>
          <w:tab w:leader="none" w:pos="639"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Material Changes; Undisclosed Events, Liabilities or Developments</w:t>
      </w:r>
      <w:r>
        <w:rPr>
          <w:rFonts w:ascii="Times New Roman" w:cs="Times New Roman" w:eastAsia="Times New Roman" w:hAnsi="Times New Roman"/>
          <w:sz w:val="17"/>
          <w:szCs w:val="17"/>
          <w:color w:val="auto"/>
        </w:rPr>
        <w:t>. Since the date of the latest audited financial statements included within the SEC Reports, except as specifically disclosed in a subsequent SEC Report filed prior to the date on which this representation is being made,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(v) the Company has not issued any equity securities to any officer, director or “</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(defined as any Person that, directly or indirectly through one or more intermediaries, controls or is controlled by or is under common control with a Person, as such terms are used in and construed under Rule 144 under the Act), except pursuant to existing Company equity award plans, and (vi) no executive officer of the Company or member of the Board has resigned from any position with the Company. The Company does not have pending before the Commission any request for confidential treatment of information. Except for the issuance of the Shares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9980"/>
          </w:cols>
          <w:pgMar w:left="1160" w:top="263" w:right="759" w:bottom="1440" w:gutter="0" w:footer="0" w:header="0"/>
        </w:sectPr>
      </w:pPr>
    </w:p>
    <w:bookmarkStart w:id="85" w:name="page86"/>
    <w:bookmarkEnd w:id="85"/>
    <w:p>
      <w:pPr>
        <w:ind w:firstLine="403"/>
        <w:spacing w:after="0" w:line="253" w:lineRule="auto"/>
        <w:tabs>
          <w:tab w:leader="none" w:pos="639"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9">
                      <a:extLst>
                        <a:ext uri="{28A0092B-C50C-407E-A947-70E740481C1C}"/>
                      </a:extLst>
                    </a:blip>
                    <a:srcRect/>
                    <a:stretch>
                      <a:fillRect/>
                    </a:stretch>
                  </pic:blipFill>
                  <pic:spPr bwMode="auto">
                    <a:xfrm>
                      <a:off x="0" y="0"/>
                      <a:ext cx="7181850" cy="36830"/>
                    </a:xfrm>
                    <a:prstGeom prst="rect">
                      <a:avLst/>
                    </a:prstGeom>
                    <a:noFill/>
                  </pic:spPr>
                </pic:pic>
              </a:graphicData>
            </a:graphic>
          </wp:anchor>
        </w:drawing>
        <w:t>Litigation</w:t>
      </w:r>
      <w:r>
        <w:rPr>
          <w:rFonts w:ascii="Times New Roman" w:cs="Times New Roman" w:eastAsia="Times New Roman" w:hAnsi="Times New Roman"/>
          <w:sz w:val="17"/>
          <w:szCs w:val="17"/>
          <w:color w:val="auto"/>
        </w:rPr>
        <w:t>. Except as set forth in the SEC Reports,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7"/>
          <w:szCs w:val="17"/>
          <w:u w:val="single" w:color="auto"/>
          <w:color w:val="auto"/>
        </w:rPr>
        <w:t>Action</w:t>
      </w:r>
      <w:r>
        <w:rPr>
          <w:rFonts w:ascii="Times New Roman" w:cs="Times New Roman" w:eastAsia="Times New Roman" w:hAnsi="Times New Roman"/>
          <w:sz w:val="17"/>
          <w:szCs w:val="17"/>
          <w:color w:val="auto"/>
        </w:rPr>
        <w:t>”). None of the Actions set forth in the SEC Reports adversely affects or challenges the legality, validity or enforceability of this Agreement or the Shares.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Act.</w:t>
      </w:r>
    </w:p>
    <w:p>
      <w:pPr>
        <w:spacing w:after="0" w:line="80" w:lineRule="exact"/>
        <w:rPr>
          <w:rFonts w:ascii="Times New Roman" w:cs="Times New Roman" w:eastAsia="Times New Roman" w:hAnsi="Times New Roman"/>
          <w:sz w:val="17"/>
          <w:szCs w:val="17"/>
          <w:color w:val="auto"/>
        </w:rPr>
      </w:pPr>
    </w:p>
    <w:p>
      <w:pPr>
        <w:ind w:right="120" w:firstLine="403"/>
        <w:spacing w:after="0" w:line="253" w:lineRule="auto"/>
        <w:tabs>
          <w:tab w:leader="none" w:pos="639"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Labor Relations</w:t>
      </w:r>
      <w:r>
        <w:rPr>
          <w:rFonts w:ascii="Times New Roman" w:cs="Times New Roman" w:eastAsia="Times New Roman" w:hAnsi="Times New Roman"/>
          <w:sz w:val="17"/>
          <w:szCs w:val="17"/>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applicable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76" w:lineRule="exact"/>
        <w:rPr>
          <w:rFonts w:ascii="Times New Roman" w:cs="Times New Roman" w:eastAsia="Times New Roman" w:hAnsi="Times New Roman"/>
          <w:sz w:val="17"/>
          <w:szCs w:val="17"/>
          <w:color w:val="auto"/>
        </w:rPr>
      </w:pPr>
    </w:p>
    <w:p>
      <w:pPr>
        <w:ind w:firstLine="403"/>
        <w:spacing w:after="0" w:line="257" w:lineRule="auto"/>
        <w:tabs>
          <w:tab w:leader="none" w:pos="611"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w:t>
      </w:r>
      <w:r>
        <w:rPr>
          <w:rFonts w:ascii="Times New Roman" w:cs="Times New Roman" w:eastAsia="Times New Roman" w:hAnsi="Times New Roman"/>
          <w:sz w:val="17"/>
          <w:szCs w:val="17"/>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9960"/>
          </w:cols>
          <w:pgMar w:left="1160" w:top="263" w:right="779" w:bottom="1440" w:gutter="0" w:footer="0" w:header="0"/>
        </w:sectPr>
      </w:pPr>
    </w:p>
    <w:bookmarkStart w:id="86" w:name="page87"/>
    <w:bookmarkEnd w:id="86"/>
    <w:p>
      <w:pPr>
        <w:ind w:right="20"/>
        <w:spacing w:after="0" w:line="25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0">
                      <a:extLst>
                        <a:ext uri="{28A0092B-C50C-407E-A947-70E740481C1C}"/>
                      </a:extLst>
                    </a:blip>
                    <a:srcRect/>
                    <a:stretch>
                      <a:fillRect/>
                    </a:stretch>
                  </pic:blipFill>
                  <pic:spPr bwMode="auto">
                    <a:xfrm>
                      <a:off x="0" y="0"/>
                      <a:ext cx="7181850" cy="36830"/>
                    </a:xfrm>
                    <a:prstGeom prst="rect">
                      <a:avLst/>
                    </a:prstGeom>
                    <a:noFill/>
                  </pic:spPr>
                </pic:pic>
              </a:graphicData>
            </a:graphic>
          </wp:anchor>
        </w:drawing>
        <w:t>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73" w:lineRule="exact"/>
        <w:rPr>
          <w:sz w:val="20"/>
          <w:szCs w:val="20"/>
          <w:color w:val="auto"/>
        </w:rPr>
      </w:pPr>
    </w:p>
    <w:p>
      <w:pPr>
        <w:ind w:firstLine="403"/>
        <w:spacing w:after="0" w:line="253" w:lineRule="auto"/>
        <w:tabs>
          <w:tab w:leader="none" w:pos="6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Environmental Laws</w:t>
      </w:r>
      <w:r>
        <w:rPr>
          <w:rFonts w:ascii="Times New Roman" w:cs="Times New Roman" w:eastAsia="Times New Roman" w:hAnsi="Times New Roman"/>
          <w:sz w:val="17"/>
          <w:szCs w:val="17"/>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7"/>
          <w:szCs w:val="17"/>
          <w:u w:val="single" w:color="auto"/>
          <w:color w:val="auto"/>
        </w:rPr>
        <w:t>Hazardous Materials</w:t>
      </w:r>
      <w:r>
        <w:rPr>
          <w:rFonts w:ascii="Times New Roman" w:cs="Times New Roman" w:eastAsia="Times New Roman" w:hAnsi="Times New Roman"/>
          <w:sz w:val="17"/>
          <w:szCs w:val="17"/>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7"/>
          <w:szCs w:val="17"/>
          <w:u w:val="single" w:color="auto"/>
          <w:color w:val="auto"/>
        </w:rPr>
        <w:t>Environmental Laws</w:t>
      </w:r>
      <w:r>
        <w:rPr>
          <w:rFonts w:ascii="Times New Roman" w:cs="Times New Roman" w:eastAsia="Times New Roman" w:hAnsi="Times New Roman"/>
          <w:sz w:val="17"/>
          <w:szCs w:val="17"/>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78" w:lineRule="exact"/>
        <w:rPr>
          <w:rFonts w:ascii="Times New Roman" w:cs="Times New Roman" w:eastAsia="Times New Roman" w:hAnsi="Times New Roman"/>
          <w:sz w:val="17"/>
          <w:szCs w:val="17"/>
          <w:color w:val="auto"/>
        </w:rPr>
      </w:pPr>
    </w:p>
    <w:p>
      <w:pPr>
        <w:jc w:val="both"/>
        <w:ind w:right="40" w:firstLine="403"/>
        <w:spacing w:after="0" w:line="259" w:lineRule="auto"/>
        <w:tabs>
          <w:tab w:leader="none" w:pos="601"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Regulatory Permits</w:t>
      </w:r>
      <w:r>
        <w:rPr>
          <w:rFonts w:ascii="Times New Roman" w:cs="Times New Roman" w:eastAsia="Times New Roman" w:hAnsi="Times New Roman"/>
          <w:sz w:val="17"/>
          <w:szCs w:val="17"/>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cs="Times New Roman" w:eastAsia="Times New Roman" w:hAnsi="Times New Roman"/>
          <w:sz w:val="17"/>
          <w:szCs w:val="17"/>
          <w:u w:val="single" w:color="auto"/>
          <w:color w:val="auto"/>
        </w:rPr>
        <w:t>Material Permits</w:t>
      </w:r>
      <w:r>
        <w:rPr>
          <w:rFonts w:ascii="Times New Roman" w:cs="Times New Roman" w:eastAsia="Times New Roman" w:hAnsi="Times New Roman"/>
          <w:sz w:val="17"/>
          <w:szCs w:val="17"/>
          <w:color w:val="auto"/>
        </w:rPr>
        <w:t>”), and neither the Company nor any Subsidiary has received any notice of proceedings relating to the revocation or modification of any Material Permit.</w:t>
      </w:r>
    </w:p>
    <w:p>
      <w:pPr>
        <w:spacing w:after="0" w:line="73" w:lineRule="exact"/>
        <w:rPr>
          <w:rFonts w:ascii="Times New Roman" w:cs="Times New Roman" w:eastAsia="Times New Roman" w:hAnsi="Times New Roman"/>
          <w:sz w:val="17"/>
          <w:szCs w:val="17"/>
          <w:color w:val="auto"/>
        </w:rPr>
      </w:pPr>
    </w:p>
    <w:p>
      <w:pPr>
        <w:ind w:right="120" w:firstLine="403"/>
        <w:spacing w:after="0" w:line="255" w:lineRule="auto"/>
        <w:tabs>
          <w:tab w:leader="none" w:pos="639"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Title to Assets</w:t>
      </w:r>
      <w:r>
        <w:rPr>
          <w:rFonts w:ascii="Times New Roman" w:cs="Times New Roman" w:eastAsia="Times New Roman" w:hAnsi="Times New Roman"/>
          <w:sz w:val="17"/>
          <w:szCs w:val="17"/>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disclosed in SEC Reports, (ii) Liens as do not materially affect the value of such property and do not materially interfere with the use made and proposed to be made of such property by the Company and the Subsidiaries and (iii)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9980"/>
          </w:cols>
          <w:pgMar w:left="1160" w:top="263" w:right="759" w:bottom="1440" w:gutter="0" w:footer="0" w:header="0"/>
        </w:sectPr>
      </w:pPr>
    </w:p>
    <w:bookmarkStart w:id="87" w:name="page88"/>
    <w:bookmarkEnd w:id="87"/>
    <w:p>
      <w:pPr>
        <w:ind w:firstLine="403"/>
        <w:spacing w:after="0" w:line="252" w:lineRule="auto"/>
        <w:tabs>
          <w:tab w:leader="none" w:pos="639"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1">
                      <a:extLst>
                        <a:ext uri="{28A0092B-C50C-407E-A947-70E740481C1C}"/>
                      </a:extLst>
                    </a:blip>
                    <a:srcRect/>
                    <a:stretch>
                      <a:fillRect/>
                    </a:stretch>
                  </pic:blipFill>
                  <pic:spPr bwMode="auto">
                    <a:xfrm>
                      <a:off x="0" y="0"/>
                      <a:ext cx="7181850" cy="36830"/>
                    </a:xfrm>
                    <a:prstGeom prst="rect">
                      <a:avLst/>
                    </a:prstGeom>
                    <a:noFill/>
                  </pic:spPr>
                </pic:pic>
              </a:graphicData>
            </a:graphic>
          </wp:anchor>
        </w:drawing>
        <w:t>Intellectual Property</w:t>
      </w:r>
      <w:r>
        <w:rPr>
          <w:rFonts w:ascii="Times New Roman" w:cs="Times New Roman" w:eastAsia="Times New Roman" w:hAnsi="Times New Roman"/>
          <w:sz w:val="17"/>
          <w:szCs w:val="17"/>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 w:cs="Times New Roman" w:eastAsia="Times New Roman" w:hAnsi="Times New Roman"/>
          <w:sz w:val="17"/>
          <w:szCs w:val="17"/>
          <w:u w:val="single" w:color="auto"/>
          <w:color w:val="auto"/>
        </w:rPr>
        <w:t>Intellectual Property Rights</w:t>
      </w:r>
      <w:r>
        <w:rPr>
          <w:rFonts w:ascii="Times New Roman" w:cs="Times New Roman" w:eastAsia="Times New Roman" w:hAnsi="Times New Roman"/>
          <w:sz w:val="17"/>
          <w:szCs w:val="17"/>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 The Company has no knowledge of any facts that would preclude it from having valid license rights or clear title to the Intellectual Property rights. The Company has no knowledge that it lacks or will be unable to obtain any rights or licenses to use all Intellectual Property Rights that are necessary to conduct its business.</w:t>
      </w:r>
    </w:p>
    <w:p>
      <w:pPr>
        <w:spacing w:after="0" w:line="80" w:lineRule="exact"/>
        <w:rPr>
          <w:rFonts w:ascii="Times New Roman" w:cs="Times New Roman" w:eastAsia="Times New Roman" w:hAnsi="Times New Roman"/>
          <w:sz w:val="17"/>
          <w:szCs w:val="17"/>
          <w:color w:val="auto"/>
        </w:rPr>
      </w:pPr>
    </w:p>
    <w:p>
      <w:pPr>
        <w:ind w:right="40" w:firstLine="403"/>
        <w:spacing w:after="0" w:line="257" w:lineRule="auto"/>
        <w:tabs>
          <w:tab w:leader="none" w:pos="677"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73" w:lineRule="exact"/>
        <w:rPr>
          <w:rFonts w:ascii="Times New Roman" w:cs="Times New Roman" w:eastAsia="Times New Roman" w:hAnsi="Times New Roman"/>
          <w:sz w:val="17"/>
          <w:szCs w:val="17"/>
          <w:color w:val="auto"/>
        </w:rPr>
      </w:pPr>
    </w:p>
    <w:p>
      <w:pPr>
        <w:ind w:right="40" w:firstLine="403"/>
        <w:spacing w:after="0" w:line="255" w:lineRule="auto"/>
        <w:tabs>
          <w:tab w:leader="none" w:pos="639"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Affiliate Transactions</w:t>
      </w:r>
      <w:r>
        <w:rPr>
          <w:rFonts w:ascii="Times New Roman" w:cs="Times New Roman" w:eastAsia="Times New Roman" w:hAnsi="Times New Roman"/>
          <w:sz w:val="17"/>
          <w:szCs w:val="17"/>
          <w:color w:val="auto"/>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9980"/>
          </w:cols>
          <w:pgMar w:left="1160" w:top="263" w:right="759" w:bottom="1440" w:gutter="0" w:footer="0" w:header="0"/>
        </w:sectPr>
      </w:pPr>
    </w:p>
    <w:bookmarkStart w:id="88" w:name="page89"/>
    <w:bookmarkEnd w:id="88"/>
    <w:p>
      <w:pPr>
        <w:ind w:right="80"/>
        <w:spacing w:after="0" w:line="26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2">
                      <a:extLst>
                        <a:ext uri="{28A0092B-C50C-407E-A947-70E740481C1C}"/>
                      </a:extLst>
                    </a:blip>
                    <a:srcRect/>
                    <a:stretch>
                      <a:fillRect/>
                    </a:stretch>
                  </pic:blipFill>
                  <pic:spPr bwMode="auto">
                    <a:xfrm>
                      <a:off x="0" y="0"/>
                      <a:ext cx="7181850" cy="36830"/>
                    </a:xfrm>
                    <a:prstGeom prst="rect">
                      <a:avLst/>
                    </a:prstGeom>
                    <a:noFill/>
                  </pic:spPr>
                </pic:pic>
              </a:graphicData>
            </a:graphic>
          </wp:anchor>
        </w:drawing>
        <w:t>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equity award agreements under any equity award plan of the Company.</w:t>
      </w:r>
    </w:p>
    <w:p>
      <w:pPr>
        <w:spacing w:after="0" w:line="68" w:lineRule="exact"/>
        <w:rPr>
          <w:sz w:val="20"/>
          <w:szCs w:val="20"/>
          <w:color w:val="auto"/>
        </w:rPr>
      </w:pPr>
    </w:p>
    <w:p>
      <w:pPr>
        <w:ind w:firstLine="403"/>
        <w:spacing w:after="0" w:line="251" w:lineRule="auto"/>
        <w:tabs>
          <w:tab w:leader="none" w:pos="639"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Sarbanes Oxley Compliance</w:t>
      </w:r>
      <w:r>
        <w:rPr>
          <w:rFonts w:ascii="Times New Roman" w:cs="Times New Roman" w:eastAsia="Times New Roman" w:hAnsi="Times New Roman"/>
          <w:sz w:val="17"/>
          <w:szCs w:val="17"/>
          <w:color w:val="auto"/>
        </w:rPr>
        <w:t>. The Company and the Subsidiaries are in compliance with any and all applicable requirements of the Sarbanes-Oxley Act of 2002, as amended, that are effective as of the date hereof, and any and all applicable rules and regulations promulgated by the Commission thereunder that are effective as of the date hereof.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7"/>
          <w:szCs w:val="17"/>
          <w:u w:val="single" w:color="auto"/>
          <w:color w:val="auto"/>
        </w:rPr>
        <w:t>Evaluation Date</w:t>
      </w:r>
      <w:r>
        <w:rPr>
          <w:rFonts w:ascii="Times New Roman" w:cs="Times New Roman" w:eastAsia="Times New Roman" w:hAnsi="Times New Roman"/>
          <w:sz w:val="17"/>
          <w:szCs w:val="17"/>
          <w:color w:val="auto"/>
        </w:rPr>
        <w:t>”), and the disclosure controls and procedures are effective in all material respects to perform the functions for which they were established.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significant deficiencies or material weaknesses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2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9960"/>
          </w:cols>
          <w:pgMar w:left="1160" w:top="263" w:right="779" w:bottom="1440" w:gutter="0" w:footer="0" w:header="0"/>
        </w:sectPr>
      </w:pPr>
    </w:p>
    <w:bookmarkStart w:id="89" w:name="page90"/>
    <w:bookmarkEnd w:id="89"/>
    <w:p>
      <w:pPr>
        <w:ind w:right="20" w:firstLine="403"/>
        <w:spacing w:after="0" w:line="257" w:lineRule="auto"/>
        <w:tabs>
          <w:tab w:leader="none" w:pos="629"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3">
                      <a:extLst>
                        <a:ext uri="{28A0092B-C50C-407E-A947-70E740481C1C}"/>
                      </a:extLst>
                    </a:blip>
                    <a:srcRect/>
                    <a:stretch>
                      <a:fillRect/>
                    </a:stretch>
                  </pic:blipFill>
                  <pic:spPr bwMode="auto">
                    <a:xfrm>
                      <a:off x="0" y="0"/>
                      <a:ext cx="7181850" cy="36830"/>
                    </a:xfrm>
                    <a:prstGeom prst="rect">
                      <a:avLst/>
                    </a:prstGeom>
                    <a:noFill/>
                  </pic:spPr>
                </pic:pic>
              </a:graphicData>
            </a:graphic>
          </wp:anchor>
        </w:drawing>
        <w:t>Certain Fees</w:t>
      </w:r>
      <w:r>
        <w:rPr>
          <w:rFonts w:ascii="Times New Roman" w:cs="Times New Roman" w:eastAsia="Times New Roman" w:hAnsi="Times New Roman"/>
          <w:sz w:val="17"/>
          <w:szCs w:val="17"/>
          <w:color w:val="auto"/>
        </w:rPr>
        <w:t>. Other than payments to be made to the Manager, no brokerage or finder’s fees or commissions are or will be payable by the Company or any Subsidiary to any broker, financial advisor or consultant, finder, placement agent, investment banker, bank or other Person with respect to the transactions contemplated by this Agreement. The Manager shall have no obligation with respect to any fees or with respect to any claims made by or on behalf of other Persons for fees of a type contemplated in this Section that may be due in connection with the transactions contemplated by this Agreement.</w:t>
      </w:r>
    </w:p>
    <w:p>
      <w:pPr>
        <w:spacing w:after="0" w:line="74" w:lineRule="exact"/>
        <w:rPr>
          <w:sz w:val="20"/>
          <w:szCs w:val="20"/>
          <w:color w:val="auto"/>
        </w:rPr>
      </w:pPr>
    </w:p>
    <w:p>
      <w:pPr>
        <w:ind w:firstLine="403"/>
        <w:spacing w:after="0" w:line="279" w:lineRule="auto"/>
        <w:tabs>
          <w:tab w:leader="none" w:pos="705"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Other Sales Agency Agreement</w:t>
      </w:r>
      <w:r>
        <w:rPr>
          <w:rFonts w:ascii="Times New Roman" w:cs="Times New Roman" w:eastAsia="Times New Roman" w:hAnsi="Times New Roman"/>
          <w:sz w:val="17"/>
          <w:szCs w:val="17"/>
          <w:color w:val="auto"/>
        </w:rPr>
        <w:t>. The Company has not entered into any other sales agency agreements or other similar arrangements with any agent or any other representative in respect of at the market offerings of the Shares.</w:t>
      </w:r>
    </w:p>
    <w:p>
      <w:pPr>
        <w:spacing w:after="0" w:line="54" w:lineRule="exact"/>
        <w:rPr>
          <w:rFonts w:ascii="Times New Roman" w:cs="Times New Roman" w:eastAsia="Times New Roman" w:hAnsi="Times New Roman"/>
          <w:sz w:val="17"/>
          <w:szCs w:val="17"/>
          <w:color w:val="auto"/>
        </w:rPr>
      </w:pPr>
    </w:p>
    <w:p>
      <w:pPr>
        <w:ind w:right="100" w:firstLine="403"/>
        <w:spacing w:after="0" w:line="255" w:lineRule="auto"/>
        <w:tabs>
          <w:tab w:leader="none" w:pos="724"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Investment Company</w:t>
      </w:r>
      <w:r>
        <w:rPr>
          <w:rFonts w:ascii="Times New Roman" w:cs="Times New Roman" w:eastAsia="Times New Roman" w:hAnsi="Times New Roman"/>
          <w:sz w:val="17"/>
          <w:szCs w:val="17"/>
          <w:color w:val="auto"/>
        </w:rPr>
        <w:t>. The Company is not, and is not an Affiliate of, and immediately after receipt of payment for the Shares from the Manager pursuant to this Agreement,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 The Company shall conduct its business in a manner so as to reasonably ensure that it or its Subsidiaries will not become an “investment company” subject to registration under the Investment Company Act of 1940, as amended.</w:t>
      </w:r>
    </w:p>
    <w:p>
      <w:pPr>
        <w:spacing w:after="0" w:line="78" w:lineRule="exact"/>
        <w:rPr>
          <w:rFonts w:ascii="Times New Roman" w:cs="Times New Roman" w:eastAsia="Times New Roman" w:hAnsi="Times New Roman"/>
          <w:sz w:val="17"/>
          <w:szCs w:val="17"/>
          <w:color w:val="auto"/>
        </w:rPr>
      </w:pPr>
    </w:p>
    <w:p>
      <w:pPr>
        <w:ind w:right="20" w:firstLine="403"/>
        <w:spacing w:after="0" w:line="253" w:lineRule="auto"/>
        <w:tabs>
          <w:tab w:leader="none" w:pos="705"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Listing and Maintenance Requirements</w:t>
      </w:r>
      <w:r>
        <w:rPr>
          <w:rFonts w:ascii="Times New Roman" w:cs="Times New Roman" w:eastAsia="Times New Roman" w:hAnsi="Times New Roman"/>
          <w:sz w:val="17"/>
          <w:szCs w:val="17"/>
          <w:color w:val="auto"/>
        </w:rPr>
        <w:t>. The Common Stock is listed on the Trading Market and the issuance of the Shares as contemplated by this Agreement does not contravene the rules and regulations of the Trading Market. The Common Stock is registered pursuant to Section 12(b) or 12(g) of the Exchange Act, and the Company has taken no action designed to terminate,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other than as disclosed in the SEC Reports.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76" w:lineRule="exact"/>
        <w:rPr>
          <w:rFonts w:ascii="Times New Roman" w:cs="Times New Roman" w:eastAsia="Times New Roman" w:hAnsi="Times New Roman"/>
          <w:sz w:val="17"/>
          <w:szCs w:val="17"/>
          <w:color w:val="auto"/>
        </w:rPr>
      </w:pPr>
    </w:p>
    <w:p>
      <w:pPr>
        <w:ind w:right="60" w:firstLine="403"/>
        <w:spacing w:after="0" w:line="259" w:lineRule="auto"/>
        <w:tabs>
          <w:tab w:leader="none" w:pos="724"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Application of Takeover Protections</w:t>
      </w:r>
      <w:r>
        <w:rPr>
          <w:rFonts w:ascii="Times New Roman" w:cs="Times New Roman" w:eastAsia="Times New Roman" w:hAnsi="Times New Roman"/>
          <w:sz w:val="17"/>
          <w:szCs w:val="17"/>
          <w:color w:val="auto"/>
        </w:rPr>
        <w:t>. The Company and the Board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Shares.</w:t>
      </w:r>
    </w:p>
    <w:p>
      <w:pPr>
        <w:spacing w:after="0" w:line="11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9980"/>
          </w:cols>
          <w:pgMar w:left="1160" w:top="263" w:right="759" w:bottom="1440" w:gutter="0" w:footer="0" w:header="0"/>
        </w:sectPr>
      </w:pPr>
    </w:p>
    <w:bookmarkStart w:id="90" w:name="page91"/>
    <w:bookmarkEnd w:id="90"/>
    <w:p>
      <w:pPr>
        <w:ind w:firstLine="403"/>
        <w:spacing w:after="0" w:line="251" w:lineRule="auto"/>
        <w:tabs>
          <w:tab w:leader="none" w:pos="705"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4">
                      <a:extLst>
                        <a:ext uri="{28A0092B-C50C-407E-A947-70E740481C1C}"/>
                      </a:extLst>
                    </a:blip>
                    <a:srcRect/>
                    <a:stretch>
                      <a:fillRect/>
                    </a:stretch>
                  </pic:blipFill>
                  <pic:spPr bwMode="auto">
                    <a:xfrm>
                      <a:off x="0" y="0"/>
                      <a:ext cx="7181850" cy="36830"/>
                    </a:xfrm>
                    <a:prstGeom prst="rect">
                      <a:avLst/>
                    </a:prstGeom>
                    <a:noFill/>
                  </pic:spPr>
                </pic:pic>
              </a:graphicData>
            </a:graphic>
          </wp:anchor>
        </w:drawing>
        <w:t>Solvency</w:t>
      </w:r>
      <w:r>
        <w:rPr>
          <w:rFonts w:ascii="Times New Roman" w:cs="Times New Roman" w:eastAsia="Times New Roman" w:hAnsi="Times New Roman"/>
          <w:sz w:val="17"/>
          <w:szCs w:val="17"/>
          <w:color w:val="auto"/>
        </w:rPr>
        <w:t>. Based on the consolidated financial condition of the Company as of the date hereof,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within one year from the date hereof. The Company has no knowledge of any facts or circumstances which lead it to believe that it will file for reorganization or liquidation under the bankruptcy or reorganization laws of any jurisdiction within one year from the date hereof. The SEC Reports set forth as of the date hereof all outstanding secured and unsecured Indebtedness of the Company or any Subsidiary, or for which the Company or any Subsidiary has commitments. Neither the Company nor any Subsidiary is in default with respect to any Indebtedness. For the purposes of this Agreement, “</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w:t>
      </w:r>
    </w:p>
    <w:p>
      <w:pPr>
        <w:spacing w:after="0" w:line="89" w:lineRule="exact"/>
        <w:rPr>
          <w:rFonts w:ascii="Times New Roman" w:cs="Times New Roman" w:eastAsia="Times New Roman" w:hAnsi="Times New Roman"/>
          <w:sz w:val="17"/>
          <w:szCs w:val="17"/>
          <w:color w:val="auto"/>
        </w:rPr>
      </w:pPr>
    </w:p>
    <w:p>
      <w:pPr>
        <w:ind w:right="120" w:firstLine="403"/>
        <w:spacing w:after="0" w:line="270" w:lineRule="auto"/>
        <w:tabs>
          <w:tab w:leader="none" w:pos="664" w:val="left"/>
        </w:tabs>
        <w:numPr>
          <w:ilvl w:val="1"/>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 Status</w:t>
      </w:r>
      <w:r>
        <w:rPr>
          <w:rFonts w:ascii="Times New Roman" w:cs="Times New Roman" w:eastAsia="Times New Roman" w:hAnsi="Times New Roman"/>
          <w:sz w:val="16"/>
          <w:szCs w:val="16"/>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w:t>
      </w:r>
    </w:p>
    <w:p>
      <w:pPr>
        <w:spacing w:after="0" w:line="2" w:lineRule="exact"/>
        <w:rPr>
          <w:rFonts w:ascii="Times New Roman" w:cs="Times New Roman" w:eastAsia="Times New Roman" w:hAnsi="Times New Roman"/>
          <w:sz w:val="16"/>
          <w:szCs w:val="16"/>
          <w:color w:val="auto"/>
        </w:rPr>
      </w:pPr>
    </w:p>
    <w:p>
      <w:pPr>
        <w:ind w:right="100" w:firstLine="4"/>
        <w:spacing w:after="0" w:line="255" w:lineRule="auto"/>
        <w:tabs>
          <w:tab w:leader="none" w:pos="297"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1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9900"/>
          </w:cols>
          <w:pgMar w:left="1160" w:top="263" w:right="839" w:bottom="1440" w:gutter="0" w:footer="0" w:header="0"/>
        </w:sectPr>
      </w:pPr>
    </w:p>
    <w:bookmarkStart w:id="91" w:name="page92"/>
    <w:bookmarkEnd w:id="91"/>
    <w:p>
      <w:pPr>
        <w:ind w:firstLine="403"/>
        <w:spacing w:after="0" w:line="274" w:lineRule="auto"/>
        <w:tabs>
          <w:tab w:leader="none" w:pos="724"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5">
                      <a:extLst>
                        <a:ext uri="{28A0092B-C50C-407E-A947-70E740481C1C}"/>
                      </a:extLst>
                    </a:blip>
                    <a:srcRect/>
                    <a:stretch>
                      <a:fillRect/>
                    </a:stretch>
                  </pic:blipFill>
                  <pic:spPr bwMode="auto">
                    <a:xfrm>
                      <a:off x="0" y="0"/>
                      <a:ext cx="7181850" cy="36830"/>
                    </a:xfrm>
                    <a:prstGeom prst="rect">
                      <a:avLst/>
                    </a:prstGeom>
                    <a:noFill/>
                  </pic:spPr>
                </pic:pic>
              </a:graphicData>
            </a:graphic>
          </wp:anchor>
        </w:drawing>
        <w:t>Foreign Corrupt Practices</w:t>
      </w:r>
      <w:r>
        <w:rPr>
          <w:rFonts w:ascii="Times New Roman" w:cs="Times New Roman" w:eastAsia="Times New Roman" w:hAnsi="Times New Roman"/>
          <w:sz w:val="16"/>
          <w:szCs w:val="16"/>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the Foreign Corrupt Practices Act of 1977, as amended.</w:t>
      </w:r>
    </w:p>
    <w:p>
      <w:pPr>
        <w:spacing w:after="0" w:line="64" w:lineRule="exact"/>
        <w:rPr>
          <w:rFonts w:ascii="Times New Roman" w:cs="Times New Roman" w:eastAsia="Times New Roman" w:hAnsi="Times New Roman"/>
          <w:sz w:val="16"/>
          <w:szCs w:val="16"/>
          <w:color w:val="auto"/>
        </w:rPr>
      </w:pPr>
    </w:p>
    <w:p>
      <w:pPr>
        <w:ind w:right="80" w:firstLine="403"/>
        <w:spacing w:after="0" w:line="255" w:lineRule="auto"/>
        <w:tabs>
          <w:tab w:leader="none" w:pos="724"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Accountants</w:t>
      </w:r>
      <w:r>
        <w:rPr>
          <w:rFonts w:ascii="Times New Roman" w:cs="Times New Roman" w:eastAsia="Times New Roman" w:hAnsi="Times New Roman"/>
          <w:sz w:val="17"/>
          <w:szCs w:val="17"/>
          <w:color w:val="auto"/>
        </w:rPr>
        <w:t>. The Company’s independent registered public accounting firm is set forth in the SEC Reports. To the knowledge and belief of the Company, such accounting firm (i) is a registered public accounting firm as required by the Exchange Act and the rules of the Public Company Accounting Oversight Board (“</w:t>
      </w:r>
      <w:r>
        <w:rPr>
          <w:rFonts w:ascii="Times New Roman" w:cs="Times New Roman" w:eastAsia="Times New Roman" w:hAnsi="Times New Roman"/>
          <w:sz w:val="17"/>
          <w:szCs w:val="17"/>
          <w:u w:val="single" w:color="auto"/>
          <w:color w:val="auto"/>
        </w:rPr>
        <w:t>PCAOB</w:t>
      </w:r>
      <w:r>
        <w:rPr>
          <w:rFonts w:ascii="Times New Roman" w:cs="Times New Roman" w:eastAsia="Times New Roman" w:hAnsi="Times New Roman"/>
          <w:sz w:val="17"/>
          <w:szCs w:val="17"/>
          <w:color w:val="auto"/>
        </w:rPr>
        <w:t>”) (ii) shall express its opinion with respect to the financial statements to be included in the Company’s Annual Report on Form 10-K for the fiscal year ending 2024 (iii) is in compliance with the applicable requirements relating to the qualification of accountants under Rule 2-01 of Regulation S-X under the Act and (iv) a registered public accounting firm as defined by PCAOB whose registration has not been suspended or revoked and who has not requested such registration to be withdrawn.</w:t>
      </w:r>
    </w:p>
    <w:p>
      <w:pPr>
        <w:spacing w:after="0" w:line="78" w:lineRule="exact"/>
        <w:rPr>
          <w:rFonts w:ascii="Times New Roman" w:cs="Times New Roman" w:eastAsia="Times New Roman" w:hAnsi="Times New Roman"/>
          <w:sz w:val="17"/>
          <w:szCs w:val="17"/>
          <w:color w:val="auto"/>
        </w:rPr>
      </w:pPr>
    </w:p>
    <w:p>
      <w:pPr>
        <w:ind w:right="160" w:firstLine="403"/>
        <w:spacing w:after="0" w:line="257" w:lineRule="auto"/>
        <w:tabs>
          <w:tab w:leader="none" w:pos="649"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Regulation M Compliance</w:t>
      </w:r>
      <w:r>
        <w:rPr>
          <w:rFonts w:ascii="Times New Roman" w:cs="Times New Roman" w:eastAsia="Times New Roman" w:hAnsi="Times New Roman"/>
          <w:sz w:val="17"/>
          <w:szCs w:val="17"/>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Shares, (ii) sold, bid for, purchased, or, paid any compensation for soliciting purchases of, any of the Shares, or (iii) paid or agreed to pay to any Person any compensation for soliciting another to purchase any other securities of the Company, other than, in the case of clauses (ii) and (iii), compensation paid to the Manager in connection with the Shares.</w:t>
      </w:r>
    </w:p>
    <w:p>
      <w:pPr>
        <w:spacing w:after="0" w:line="73" w:lineRule="exact"/>
        <w:rPr>
          <w:rFonts w:ascii="Times New Roman" w:cs="Times New Roman" w:eastAsia="Times New Roman" w:hAnsi="Times New Roman"/>
          <w:sz w:val="17"/>
          <w:szCs w:val="17"/>
          <w:color w:val="auto"/>
        </w:rPr>
      </w:pPr>
    </w:p>
    <w:p>
      <w:pPr>
        <w:ind w:right="40" w:firstLine="403"/>
        <w:spacing w:after="0" w:line="257" w:lineRule="auto"/>
        <w:tabs>
          <w:tab w:leader="none" w:pos="649"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FDA</w:t>
      </w:r>
      <w:r>
        <w:rPr>
          <w:rFonts w:ascii="Times New Roman" w:cs="Times New Roman" w:eastAsia="Times New Roman" w:hAnsi="Times New Roman"/>
          <w:sz w:val="17"/>
          <w:szCs w:val="17"/>
          <w:color w:val="auto"/>
        </w:rPr>
        <w:t>. As to each product subject to the jurisdiction of the U.S. Food and Drug Administration (“</w:t>
      </w:r>
      <w:r>
        <w:rPr>
          <w:rFonts w:ascii="Times New Roman" w:cs="Times New Roman" w:eastAsia="Times New Roman" w:hAnsi="Times New Roman"/>
          <w:sz w:val="17"/>
          <w:szCs w:val="17"/>
          <w:u w:val="single" w:color="auto"/>
          <w:color w:val="auto"/>
        </w:rPr>
        <w:t>FDA</w:t>
      </w:r>
      <w:r>
        <w:rPr>
          <w:rFonts w:ascii="Times New Roman" w:cs="Times New Roman" w:eastAsia="Times New Roman" w:hAnsi="Times New Roman"/>
          <w:sz w:val="17"/>
          <w:szCs w:val="17"/>
          <w:color w:val="auto"/>
        </w:rPr>
        <w:t>”) under the Federal Food, Drug and Cosmetic Act, as amended, and the regulations thereunder (“</w:t>
      </w:r>
      <w:r>
        <w:rPr>
          <w:rFonts w:ascii="Times New Roman" w:cs="Times New Roman" w:eastAsia="Times New Roman" w:hAnsi="Times New Roman"/>
          <w:sz w:val="17"/>
          <w:szCs w:val="17"/>
          <w:u w:val="single" w:color="auto"/>
          <w:color w:val="auto"/>
        </w:rPr>
        <w:t>FDCA</w:t>
      </w:r>
      <w:r>
        <w:rPr>
          <w:rFonts w:ascii="Times New Roman" w:cs="Times New Roman" w:eastAsia="Times New Roman" w:hAnsi="Times New Roman"/>
          <w:sz w:val="17"/>
          <w:szCs w:val="17"/>
          <w:color w:val="auto"/>
        </w:rPr>
        <w:t>”) that is manufactured, packaged, labeled, tested, distributed, sold, and/or marketed by the Company or any of its Subsidiaries (each such product, a “</w:t>
      </w:r>
      <w:r>
        <w:rPr>
          <w:rFonts w:ascii="Times New Roman" w:cs="Times New Roman" w:eastAsia="Times New Roman" w:hAnsi="Times New Roman"/>
          <w:sz w:val="17"/>
          <w:szCs w:val="17"/>
          <w:u w:val="single" w:color="auto"/>
          <w:color w:val="auto"/>
        </w:rPr>
        <w:t>Pharmaceutical Product</w:t>
      </w:r>
      <w:r>
        <w:rPr>
          <w:rFonts w:ascii="Times New Roman" w:cs="Times New Roman" w:eastAsia="Times New Roman" w:hAnsi="Times New Roman"/>
          <w:sz w:val="17"/>
          <w:szCs w:val="17"/>
          <w:color w:val="auto"/>
        </w:rPr>
        <w:t>”), such Pharmaceutical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9960"/>
          </w:cols>
          <w:pgMar w:left="1160" w:top="263" w:right="779" w:bottom="1440" w:gutter="0" w:footer="0" w:header="0"/>
        </w:sectPr>
      </w:pPr>
    </w:p>
    <w:bookmarkStart w:id="92" w:name="page93"/>
    <w:bookmarkEnd w:id="92"/>
    <w:p>
      <w:pPr>
        <w:spacing w:after="0" w:line="25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6">
                      <a:extLst>
                        <a:ext uri="{28A0092B-C50C-407E-A947-70E740481C1C}"/>
                      </a:extLst>
                    </a:blip>
                    <a:srcRect/>
                    <a:stretch>
                      <a:fillRect/>
                    </a:stretch>
                  </pic:blipFill>
                  <pic:spPr bwMode="auto">
                    <a:xfrm>
                      <a:off x="0" y="0"/>
                      <a:ext cx="7181850" cy="36830"/>
                    </a:xfrm>
                    <a:prstGeom prst="rect">
                      <a:avLst/>
                    </a:prstGeom>
                    <a:noFill/>
                  </pic:spPr>
                </pic:pic>
              </a:graphicData>
            </a:graphic>
          </wp:anchor>
        </w:drawing>
        <w:t>approval, good manufacturing practices, good laboratory practices, good clinical practices, product listing, quotas, labeling, advertising, record keeping and 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 Subsidiaries, (v) enters or proposes to enter into a consent decree of permanent injunction with the Company or any of its Subsidiaries, or</w:t>
      </w:r>
    </w:p>
    <w:p>
      <w:pPr>
        <w:ind w:right="120" w:firstLine="4"/>
        <w:spacing w:after="0" w:line="252" w:lineRule="auto"/>
        <w:tabs>
          <w:tab w:leader="none" w:pos="287"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otherwise alleges any violation of any laws, rules or regulations by the Company or any of its Subsidiaries, and which, either individually or in the aggregate, would have a Material Adverse Effect. The properties, business and operations of the Company have been and are being conducted in all material respects in accordance with all applicable laws, rules and regulations of the FDA. The Company has not been informed by the FDA that the FDA will prohibit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w:t>
      </w:r>
    </w:p>
    <w:p>
      <w:pPr>
        <w:spacing w:after="0" w:line="77" w:lineRule="exact"/>
        <w:rPr>
          <w:rFonts w:ascii="Times New Roman" w:cs="Times New Roman" w:eastAsia="Times New Roman" w:hAnsi="Times New Roman"/>
          <w:sz w:val="17"/>
          <w:szCs w:val="17"/>
          <w:color w:val="auto"/>
        </w:rPr>
      </w:pPr>
    </w:p>
    <w:p>
      <w:pPr>
        <w:ind w:right="100" w:firstLine="403"/>
        <w:spacing w:after="0" w:line="253" w:lineRule="auto"/>
        <w:tabs>
          <w:tab w:leader="none" w:pos="724"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ERISA Compliance</w:t>
      </w:r>
      <w:r>
        <w:rPr>
          <w:rFonts w:ascii="Times New Roman" w:cs="Times New Roman" w:eastAsia="Times New Roman" w:hAnsi="Times New Roman"/>
          <w:sz w:val="17"/>
          <w:szCs w:val="17"/>
          <w:color w:val="auto"/>
        </w:rPr>
        <w:t>. Except as otherwise disclosed in the Registration Statement and the Prospectus, the Company and its Subsidiaries and any “employee benefit plan” (as defined under the Employee Retirement Income Security Act of 1974, as amended, and the regulations and published interpretations thereunder (collectively, “ERISA”)) established or maintained by the Company, its Subsidiaries or their “ERISA Affiliates” (as defined below) are in compliance in all material respects with ERISA. “ERISA Affiliate” means, with respect to the Company or any of its Subsidiaries, any member of any group of organizations described in Sections 414(b), (c), (m) or (o) of the Internal Revenue Code of 1986, as amended, and the regulations and published interpretations thereunder (the “Code”) of which the Company or such Subsidiary is a member. No “reportable event” (as defined under ERISA) has occurred or is reasonably expected to occur with respect to any “employee benefit plan” established or maintained by the Company, its Subsidiaries or any of their ERISA Affiliates. No “employee benefit plan” established or maintained by the Company, its Subsidiaries or any of their ERISA Affiliates, if such “employee benefit plan” were terminated, would have any “amount of unfunded benefit liabilities” (as defined under ERISA). Neither the Company, its Subsidiaries nor any of their ERISA Affiliates has incurred or</w:t>
      </w:r>
    </w:p>
    <w:p>
      <w:pPr>
        <w:spacing w:after="0" w:line="11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9980"/>
          </w:cols>
          <w:pgMar w:left="1160" w:top="263" w:right="759" w:bottom="1440" w:gutter="0" w:footer="0" w:header="0"/>
        </w:sectPr>
      </w:pPr>
    </w:p>
    <w:bookmarkStart w:id="93" w:name="page94"/>
    <w:bookmarkEnd w:id="93"/>
    <w:p>
      <w:pPr>
        <w:ind w:right="260"/>
        <w:spacing w:after="0" w:line="25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7">
                      <a:extLst>
                        <a:ext uri="{28A0092B-C50C-407E-A947-70E740481C1C}"/>
                      </a:extLst>
                    </a:blip>
                    <a:srcRect/>
                    <a:stretch>
                      <a:fillRect/>
                    </a:stretch>
                  </pic:blipFill>
                  <pic:spPr bwMode="auto">
                    <a:xfrm>
                      <a:off x="0" y="0"/>
                      <a:ext cx="7181850" cy="36830"/>
                    </a:xfrm>
                    <a:prstGeom prst="rect">
                      <a:avLst/>
                    </a:prstGeom>
                    <a:noFill/>
                  </pic:spPr>
                </pic:pic>
              </a:graphicData>
            </a:graphic>
          </wp:anchor>
        </w:drawing>
        <w:t>reasonably expects to incur any liability under (i) Title IV of ERISA with respect to termination of, or withdrawal from, any “employee benefit plan” or (ii) Sections 412, 4971, 4975 or 4980B of the Code. Each “employee benefit plan” established or maintained by the Company, its subsidiaries or any of their ERISA Affiliates that is intended to be qualified under Section 401(a) of the Code is so qualified and nothing has occurred, whether by action or failure to act, which would cause the loss of such qualification.</w:t>
      </w:r>
    </w:p>
    <w:p>
      <w:pPr>
        <w:spacing w:after="0" w:line="73" w:lineRule="exact"/>
        <w:rPr>
          <w:sz w:val="20"/>
          <w:szCs w:val="20"/>
          <w:color w:val="auto"/>
        </w:rPr>
      </w:pPr>
    </w:p>
    <w:p>
      <w:pPr>
        <w:ind w:right="120" w:firstLine="403"/>
        <w:spacing w:after="0" w:line="255" w:lineRule="auto"/>
        <w:tabs>
          <w:tab w:leader="none" w:pos="649"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Equity Award Plans</w:t>
      </w:r>
      <w:r>
        <w:rPr>
          <w:rFonts w:ascii="Times New Roman" w:cs="Times New Roman" w:eastAsia="Times New Roman" w:hAnsi="Times New Roman"/>
          <w:sz w:val="17"/>
          <w:szCs w:val="17"/>
          <w:color w:val="auto"/>
        </w:rPr>
        <w:t>. Each equity award granted by the Company under the Company’s equity award plan was granted (i) in accordance with the terms of the Company’s equity award plan and (ii) with an exercise price at least equal to the fair market value of the Common Stock on the date such equity award would be considered granted under GAAP and applicable law. No equity award granted under the Company’s equity award plan has been backdated. The Company has not knowingly granted, and there is no and has been no Company policy or practice to knowingly grant, equity awards prior to, or otherwise knowingly coordinate the grant of equity awards with, the release or other public announcement of material information regarding the Company or its Subsidiaries or their financial results or prospects.</w:t>
      </w:r>
    </w:p>
    <w:p>
      <w:pPr>
        <w:spacing w:after="0" w:line="78" w:lineRule="exact"/>
        <w:rPr>
          <w:rFonts w:ascii="Times New Roman" w:cs="Times New Roman" w:eastAsia="Times New Roman" w:hAnsi="Times New Roman"/>
          <w:sz w:val="17"/>
          <w:szCs w:val="17"/>
          <w:color w:val="auto"/>
        </w:rPr>
      </w:pPr>
    </w:p>
    <w:p>
      <w:pPr>
        <w:ind w:firstLine="403"/>
        <w:spacing w:after="0" w:line="252" w:lineRule="auto"/>
        <w:tabs>
          <w:tab w:leader="none" w:pos="818"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Cybersecurity</w:t>
      </w:r>
      <w:r>
        <w:rPr>
          <w:rFonts w:ascii="Times New Roman" w:cs="Times New Roman" w:eastAsia="Times New Roman" w:hAnsi="Times New Roman"/>
          <w:sz w:val="17"/>
          <w:szCs w:val="17"/>
          <w:color w:val="auto"/>
        </w:rPr>
        <w:t>. Other than as disclosed in filings with the SEC during the past five years,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7"/>
          <w:szCs w:val="17"/>
          <w:u w:val="single" w:color="auto"/>
          <w:color w:val="auto"/>
        </w:rPr>
        <w:t>IT Systems and Data</w:t>
      </w:r>
      <w:r>
        <w:rPr>
          <w:rFonts w:ascii="Times New Roman" w:cs="Times New Roman" w:eastAsia="Times New Roman" w:hAnsi="Times New Roman"/>
          <w:sz w:val="17"/>
          <w:szCs w:val="17"/>
          <w:color w:val="auto"/>
        </w:rPr>
        <w:t>”)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spacing w:after="0" w:line="83" w:lineRule="exact"/>
        <w:rPr>
          <w:rFonts w:ascii="Times New Roman" w:cs="Times New Roman" w:eastAsia="Times New Roman" w:hAnsi="Times New Roman"/>
          <w:sz w:val="17"/>
          <w:szCs w:val="17"/>
          <w:color w:val="auto"/>
        </w:rPr>
      </w:pPr>
    </w:p>
    <w:p>
      <w:pPr>
        <w:ind w:right="300" w:firstLine="403"/>
        <w:spacing w:after="0" w:line="264" w:lineRule="auto"/>
        <w:tabs>
          <w:tab w:leader="none" w:pos="724"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Data Privacy Laws</w:t>
      </w:r>
      <w:r>
        <w:rPr>
          <w:rFonts w:ascii="Times New Roman" w:cs="Times New Roman" w:eastAsia="Times New Roman" w:hAnsi="Times New Roman"/>
          <w:sz w:val="17"/>
          <w:szCs w:val="17"/>
          <w:color w:val="auto"/>
        </w:rPr>
        <w:t>. (i) The Company and the Subsidiaries are, and at all times during the past three years were, in compliance with all applicable data privacy and security laws and regulations, including, as applicable, the European Union General Data Protection Regulation (“</w:t>
      </w:r>
      <w:r>
        <w:rPr>
          <w:rFonts w:ascii="Times New Roman" w:cs="Times New Roman" w:eastAsia="Times New Roman" w:hAnsi="Times New Roman"/>
          <w:sz w:val="17"/>
          <w:szCs w:val="17"/>
          <w:u w:val="single" w:color="auto"/>
          <w:color w:val="auto"/>
        </w:rPr>
        <w:t>GDPR</w:t>
      </w:r>
      <w:r>
        <w:rPr>
          <w:rFonts w:ascii="Times New Roman" w:cs="Times New Roman" w:eastAsia="Times New Roman" w:hAnsi="Times New Roman"/>
          <w:sz w:val="17"/>
          <w:szCs w:val="17"/>
          <w:color w:val="auto"/>
        </w:rPr>
        <w:t>”)</w:t>
      </w:r>
    </w:p>
    <w:p>
      <w:pPr>
        <w:spacing w:after="0" w:line="10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9980"/>
          </w:cols>
          <w:pgMar w:left="1160" w:top="263" w:right="759" w:bottom="1440" w:gutter="0" w:footer="0" w:header="0"/>
        </w:sectPr>
      </w:pPr>
    </w:p>
    <w:bookmarkStart w:id="94" w:name="page95"/>
    <w:bookmarkEnd w:id="94"/>
    <w:p>
      <w:pPr>
        <w:spacing w:after="0" w:line="25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8">
                      <a:extLst>
                        <a:ext uri="{28A0092B-C50C-407E-A947-70E740481C1C}"/>
                      </a:extLst>
                    </a:blip>
                    <a:srcRect/>
                    <a:stretch>
                      <a:fillRect/>
                    </a:stretch>
                  </pic:blipFill>
                  <pic:spPr bwMode="auto">
                    <a:xfrm>
                      <a:off x="0" y="0"/>
                      <a:ext cx="7181850" cy="36830"/>
                    </a:xfrm>
                    <a:prstGeom prst="rect">
                      <a:avLst/>
                    </a:prstGeom>
                    <a:noFill/>
                  </pic:spPr>
                </pic:pic>
              </a:graphicData>
            </a:graphic>
          </wp:anchor>
        </w:drawing>
        <w:t>(EU 2016/679) (collectively, “</w:t>
      </w:r>
      <w:r>
        <w:rPr>
          <w:rFonts w:ascii="Times New Roman" w:cs="Times New Roman" w:eastAsia="Times New Roman" w:hAnsi="Times New Roman"/>
          <w:sz w:val="17"/>
          <w:szCs w:val="17"/>
          <w:u w:val="single" w:color="auto"/>
          <w:color w:val="auto"/>
        </w:rPr>
        <w:t>Privacy Laws</w:t>
      </w:r>
      <w:r>
        <w:rPr>
          <w:rFonts w:ascii="Times New Roman" w:cs="Times New Roman" w:eastAsia="Times New Roman" w:hAnsi="Times New Roman"/>
          <w:sz w:val="17"/>
          <w:szCs w:val="17"/>
          <w:color w:val="auto"/>
        </w:rPr>
        <w:t>”); (ii) the Company and the Subsidiaries have in place, comply with, and take appropriate steps reasonably designed to ensure compliance with their policies and procedures relating to data privacy and security and the collection, storage, use, disclosure, handling and analysis of Personal Data (the “</w:t>
      </w:r>
      <w:r>
        <w:rPr>
          <w:rFonts w:ascii="Times New Roman" w:cs="Times New Roman" w:eastAsia="Times New Roman" w:hAnsi="Times New Roman"/>
          <w:sz w:val="17"/>
          <w:szCs w:val="17"/>
          <w:u w:val="single" w:color="auto"/>
          <w:color w:val="auto"/>
        </w:rPr>
        <w:t>Policies</w:t>
      </w:r>
      <w:r>
        <w:rPr>
          <w:rFonts w:ascii="Times New Roman" w:cs="Times New Roman" w:eastAsia="Times New Roman" w:hAnsi="Times New Roman"/>
          <w:sz w:val="17"/>
          <w:szCs w:val="17"/>
          <w:color w:val="auto"/>
        </w:rPr>
        <w:t>”); (iii) the Company provides accurate notice of its applicable Policies to its customers, employees, third party vendors and representatives as required by Privacy Laws; and (iv) applicable Policies provide accurate and sufficient notice of the Company’s then-current privacy practices relating to its subject matter, and do not contain any material omissions of the Company’s then-current privacy practices, as required by Privacy Laws. “</w:t>
      </w:r>
      <w:r>
        <w:rPr>
          <w:rFonts w:ascii="Times New Roman" w:cs="Times New Roman" w:eastAsia="Times New Roman" w:hAnsi="Times New Roman"/>
          <w:sz w:val="17"/>
          <w:szCs w:val="17"/>
          <w:u w:val="single" w:color="auto"/>
          <w:color w:val="auto"/>
        </w:rPr>
        <w:t>Personal Data</w:t>
      </w:r>
      <w:r>
        <w:rPr>
          <w:rFonts w:ascii="Times New Roman" w:cs="Times New Roman" w:eastAsia="Times New Roman" w:hAnsi="Times New Roman"/>
          <w:sz w:val="17"/>
          <w:szCs w:val="17"/>
          <w:color w:val="auto"/>
        </w:rPr>
        <w:t>”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 (iii) “personal data” as defined by GDPR; and (iv) any other piece of information that allows the identification of such natural person, or his or her family, or permits the collection or analysis of any identifiable data related to an identified person’s health or sexual orientation. (i) None of such disclosures made or contained in any of the Policies have been inaccurate, misleading, or deceptive in violation of any Privacy Laws and (ii) the execution, delivery and performance of this Agreement will not result in a breach of any Privacy Laws or Policies. Neither the Company nor the Subsidiaries, (i) has, to the knowledge of the Company, received written notice of any actual or potential liability of the Company or the Subsidiaries under, or actual or potential violation by the Company or the Subsidiaries of, any of the Privacy Laws; (ii) is currently conducting or paying for, in whole or in part, any investigation, remediation or other corrective action pursuant to any regulatory request or demand pursuant to any Privacy Law; or (iii) is a party to any order, decree, or agreement by or with any court or arbitrator or governmental or regulatory authority that imposed any obligation or liability under any Privacy Law.</w:t>
      </w:r>
    </w:p>
    <w:p>
      <w:pPr>
        <w:spacing w:after="0" w:line="90" w:lineRule="exact"/>
        <w:rPr>
          <w:sz w:val="20"/>
          <w:szCs w:val="20"/>
          <w:color w:val="auto"/>
        </w:rPr>
      </w:pPr>
    </w:p>
    <w:p>
      <w:pPr>
        <w:ind w:firstLine="403"/>
        <w:spacing w:after="0" w:line="253" w:lineRule="auto"/>
        <w:tabs>
          <w:tab w:leader="none" w:pos="724"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Office of Foreign Assets Control</w:t>
      </w:r>
      <w:r>
        <w:rPr>
          <w:rFonts w:ascii="Times New Roman" w:cs="Times New Roman" w:eastAsia="Times New Roman" w:hAnsi="Times New Roman"/>
          <w:sz w:val="17"/>
          <w:szCs w:val="17"/>
          <w:color w:val="auto"/>
        </w:rPr>
        <w:t>. Neither the Company nor any of its Subsidiaries, nor to the knowledge of the Company, any of the directors, officers or employees of the Company or its Subsidiaries, is an individual or entity that is, or is owned or controlled by an individual or entity that is: (i) the subject of any sanctions administered or enforced by the U.S. Department of Treasury’s Office of Foreign Assets Control, the United Nations Security Council, the European Union, Her Majesty’s Treasury, or other relevant sanctions authority (collectively, “</w:t>
      </w:r>
      <w:r>
        <w:rPr>
          <w:rFonts w:ascii="Times New Roman" w:cs="Times New Roman" w:eastAsia="Times New Roman" w:hAnsi="Times New Roman"/>
          <w:sz w:val="17"/>
          <w:szCs w:val="17"/>
          <w:u w:val="single" w:color="auto"/>
          <w:color w:val="auto"/>
        </w:rPr>
        <w:t>Sanctions</w:t>
      </w:r>
      <w:r>
        <w:rPr>
          <w:rFonts w:ascii="Times New Roman" w:cs="Times New Roman" w:eastAsia="Times New Roman" w:hAnsi="Times New Roman"/>
          <w:sz w:val="17"/>
          <w:szCs w:val="17"/>
          <w:color w:val="auto"/>
        </w:rPr>
        <w:t>”), nor (ii) located, organized or resident in a country or territory that is the subject of Sanctions. Neither the Company nor any of its Subsidiaries will, directly or indirectly, use the proceeds of the transactions contemplated hereby, or lend, contribute or otherwise make available such proceeds to any Subsidiary, joint venture partner or other individual or entity: (i) to fund or facilitate any activities or business of or with any individual or entity or in any country or territory that, at the time of such funding or facilitation, is the subject of Sanctions or (ii) in any other manner that will result in a violation of Sanctions by any individual or entity</w:t>
      </w:r>
    </w:p>
    <w:p>
      <w:pPr>
        <w:spacing w:after="0" w:line="11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9960"/>
          </w:cols>
          <w:pgMar w:left="1160" w:top="263" w:right="779" w:bottom="1440" w:gutter="0" w:footer="0" w:header="0"/>
        </w:sectPr>
      </w:pPr>
    </w:p>
    <w:bookmarkStart w:id="95" w:name="page96"/>
    <w:bookmarkEnd w:id="95"/>
    <w:p>
      <w:pPr>
        <w:ind w:right="160"/>
        <w:spacing w:after="0" w:line="25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9">
                      <a:extLst>
                        <a:ext uri="{28A0092B-C50C-407E-A947-70E740481C1C}"/>
                      </a:extLst>
                    </a:blip>
                    <a:srcRect/>
                    <a:stretch>
                      <a:fillRect/>
                    </a:stretch>
                  </pic:blipFill>
                  <pic:spPr bwMode="auto">
                    <a:xfrm>
                      <a:off x="0" y="0"/>
                      <a:ext cx="7181850" cy="36830"/>
                    </a:xfrm>
                    <a:prstGeom prst="rect">
                      <a:avLst/>
                    </a:prstGeom>
                    <a:noFill/>
                  </pic:spPr>
                </pic:pic>
              </a:graphicData>
            </a:graphic>
          </wp:anchor>
        </w:drawing>
        <w:t>(including any individual or entity participating in the transactions contemplated hereby, whether as underwriter, advisor, investor or otherwise). For the past five years, neither the Company nor any of its Subsidiaries has knowingly engaged in, and is not now knowingly engaged in, any dealings or transactions with any individual or entity, or in any country or territory, that at the time of the dealing or transaction is or was the subject of Sanctions.</w:t>
      </w:r>
    </w:p>
    <w:p>
      <w:pPr>
        <w:spacing w:after="0" w:line="73" w:lineRule="exact"/>
        <w:rPr>
          <w:sz w:val="20"/>
          <w:szCs w:val="20"/>
          <w:color w:val="auto"/>
        </w:rPr>
      </w:pPr>
    </w:p>
    <w:p>
      <w:pPr>
        <w:ind w:right="200" w:firstLine="403"/>
        <w:spacing w:after="0" w:line="279" w:lineRule="auto"/>
        <w:tabs>
          <w:tab w:leader="none" w:pos="724"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U.S. Real Property Holding Corporation</w:t>
      </w:r>
      <w:r>
        <w:rPr>
          <w:rFonts w:ascii="Times New Roman" w:cs="Times New Roman" w:eastAsia="Times New Roman" w:hAnsi="Times New Roman"/>
          <w:sz w:val="17"/>
          <w:szCs w:val="17"/>
          <w:color w:val="auto"/>
        </w:rPr>
        <w:t>. The Company is not and has never been a U.S. real property holding corporation within the meaning of Section 897 of the Internal Revenue Code of 1986, as amended, and the Company shall so certify upon the Manager’s request.</w:t>
      </w:r>
    </w:p>
    <w:p>
      <w:pPr>
        <w:spacing w:after="0" w:line="54" w:lineRule="exact"/>
        <w:rPr>
          <w:rFonts w:ascii="Times New Roman" w:cs="Times New Roman" w:eastAsia="Times New Roman" w:hAnsi="Times New Roman"/>
          <w:sz w:val="17"/>
          <w:szCs w:val="17"/>
          <w:color w:val="auto"/>
        </w:rPr>
      </w:pPr>
    </w:p>
    <w:p>
      <w:pPr>
        <w:ind w:right="20" w:firstLine="403"/>
        <w:spacing w:after="0" w:line="255" w:lineRule="auto"/>
        <w:tabs>
          <w:tab w:leader="none" w:pos="724"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Bank Holding Company Act</w:t>
      </w:r>
      <w:r>
        <w:rPr>
          <w:rFonts w:ascii="Times New Roman" w:cs="Times New Roman" w:eastAsia="Times New Roman" w:hAnsi="Times New Roman"/>
          <w:sz w:val="17"/>
          <w:szCs w:val="17"/>
          <w:color w:val="auto"/>
        </w:rPr>
        <w:t>. Neither the Company nor any of its Subsidiaries or Affiliates is subject to the Bank Holding Company Act of 1956, as amended (the “</w:t>
      </w:r>
      <w:r>
        <w:rPr>
          <w:rFonts w:ascii="Times New Roman" w:cs="Times New Roman" w:eastAsia="Times New Roman" w:hAnsi="Times New Roman"/>
          <w:sz w:val="17"/>
          <w:szCs w:val="17"/>
          <w:u w:val="single" w:color="auto"/>
          <w:color w:val="auto"/>
        </w:rPr>
        <w:t>BHCA</w:t>
      </w:r>
      <w:r>
        <w:rPr>
          <w:rFonts w:ascii="Times New Roman" w:cs="Times New Roman" w:eastAsia="Times New Roman" w:hAnsi="Times New Roman"/>
          <w:sz w:val="17"/>
          <w:szCs w:val="17"/>
          <w:color w:val="auto"/>
        </w:rPr>
        <w:t>”) and to regulation by the Board of Governors of the Federal Reserve System (the “</w:t>
      </w:r>
      <w:r>
        <w:rPr>
          <w:rFonts w:ascii="Times New Roman" w:cs="Times New Roman" w:eastAsia="Times New Roman" w:hAnsi="Times New Roman"/>
          <w:sz w:val="17"/>
          <w:szCs w:val="17"/>
          <w:u w:val="single" w:color="auto"/>
          <w:color w:val="auto"/>
        </w:rPr>
        <w:t>Federal Reserve</w:t>
      </w:r>
      <w:r>
        <w:rPr>
          <w:rFonts w:ascii="Times New Roman" w:cs="Times New Roman" w:eastAsia="Times New Roman" w:hAnsi="Times New Roman"/>
          <w:sz w:val="17"/>
          <w:szCs w:val="17"/>
          <w:color w:val="auto"/>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78" w:lineRule="exact"/>
        <w:rPr>
          <w:rFonts w:ascii="Times New Roman" w:cs="Times New Roman" w:eastAsia="Times New Roman" w:hAnsi="Times New Roman"/>
          <w:sz w:val="17"/>
          <w:szCs w:val="17"/>
          <w:color w:val="auto"/>
        </w:rPr>
      </w:pPr>
    </w:p>
    <w:p>
      <w:pPr>
        <w:ind w:firstLine="403"/>
        <w:spacing w:after="0" w:line="257" w:lineRule="auto"/>
        <w:tabs>
          <w:tab w:leader="none" w:pos="667"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Money Laundering</w:t>
      </w:r>
      <w:r>
        <w:rPr>
          <w:rFonts w:ascii="Times New Roman" w:cs="Times New Roman" w:eastAsia="Times New Roman" w:hAnsi="Times New Roman"/>
          <w:sz w:val="17"/>
          <w:szCs w:val="17"/>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7"/>
          <w:szCs w:val="17"/>
          <w:u w:val="single" w:color="auto"/>
          <w:color w:val="auto"/>
        </w:rPr>
        <w:t>Money Laundering Laws</w:t>
      </w:r>
      <w:r>
        <w:rPr>
          <w:rFonts w:ascii="Times New Roman" w:cs="Times New Roman" w:eastAsia="Times New Roman" w:hAnsi="Times New Roman"/>
          <w:sz w:val="17"/>
          <w:szCs w:val="17"/>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73" w:lineRule="exact"/>
        <w:rPr>
          <w:rFonts w:ascii="Times New Roman" w:cs="Times New Roman" w:eastAsia="Times New Roman" w:hAnsi="Times New Roman"/>
          <w:sz w:val="17"/>
          <w:szCs w:val="17"/>
          <w:color w:val="auto"/>
        </w:rPr>
      </w:pPr>
    </w:p>
    <w:p>
      <w:pPr>
        <w:ind w:firstLine="403"/>
        <w:spacing w:after="0" w:line="264" w:lineRule="auto"/>
        <w:tabs>
          <w:tab w:leader="none" w:pos="686"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FINRA Member Shareholders</w:t>
      </w:r>
      <w:r>
        <w:rPr>
          <w:rFonts w:ascii="Times New Roman" w:cs="Times New Roman" w:eastAsia="Times New Roman" w:hAnsi="Times New Roman"/>
          <w:sz w:val="17"/>
          <w:szCs w:val="17"/>
          <w:color w:val="auto"/>
        </w:rPr>
        <w:t>. There are no affiliations with any FINRA member firm among the Company’s officers, directors or, to the knowledge of the Company, any five percent (5%) or greater stockholder of the Company, except as set forth in the Registration Statement, the Base Prospectus, the ATM Prospectus, the Prospectus or any Prospectus Supplement.</w:t>
      </w:r>
    </w:p>
    <w:p>
      <w:pPr>
        <w:spacing w:after="0" w:line="169" w:lineRule="exact"/>
        <w:rPr>
          <w:rFonts w:ascii="Times New Roman" w:cs="Times New Roman" w:eastAsia="Times New Roman" w:hAnsi="Times New Roman"/>
          <w:sz w:val="17"/>
          <w:szCs w:val="17"/>
          <w:color w:val="auto"/>
        </w:rPr>
      </w:pPr>
    </w:p>
    <w:p>
      <w:pPr>
        <w:ind w:left="180" w:hanging="176"/>
        <w:spacing w:after="0"/>
        <w:tabs>
          <w:tab w:leader="none" w:pos="18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Agreements</w:t>
      </w:r>
      <w:r>
        <w:rPr>
          <w:rFonts w:ascii="Times New Roman" w:cs="Times New Roman" w:eastAsia="Times New Roman" w:hAnsi="Times New Roman"/>
          <w:sz w:val="17"/>
          <w:szCs w:val="17"/>
          <w:color w:val="auto"/>
        </w:rPr>
        <w:t>. The Company agrees with the Manager that:</w:t>
      </w:r>
    </w:p>
    <w:p>
      <w:pPr>
        <w:spacing w:after="0" w:line="110" w:lineRule="exact"/>
        <w:rPr>
          <w:rFonts w:ascii="Times New Roman" w:cs="Times New Roman" w:eastAsia="Times New Roman" w:hAnsi="Times New Roman"/>
          <w:sz w:val="17"/>
          <w:szCs w:val="17"/>
          <w:color w:val="auto"/>
        </w:rPr>
      </w:pPr>
    </w:p>
    <w:p>
      <w:pPr>
        <w:ind w:right="260" w:firstLine="403"/>
        <w:spacing w:after="0" w:line="264" w:lineRule="auto"/>
        <w:tabs>
          <w:tab w:leader="none" w:pos="629"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 to Review Amendments and Supplements to Registration Statement and Prospectus</w:t>
      </w:r>
      <w:r>
        <w:rPr>
          <w:rFonts w:ascii="Times New Roman" w:cs="Times New Roman" w:eastAsia="Times New Roman" w:hAnsi="Times New Roman"/>
          <w:sz w:val="17"/>
          <w:szCs w:val="17"/>
          <w:color w:val="auto"/>
        </w:rPr>
        <w:t>. During any period when the delivery of a prospectus relating to the Shares is required (including in circumstances where such requirement may be satisfied pursuant to Rule 172, 173 or any similar rule) to be</w:t>
      </w:r>
    </w:p>
    <w:p>
      <w:pPr>
        <w:spacing w:after="0" w:line="10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9960"/>
          </w:cols>
          <w:pgMar w:left="1160" w:top="263" w:right="779" w:bottom="1440" w:gutter="0" w:footer="0" w:header="0"/>
        </w:sectPr>
      </w:pPr>
    </w:p>
    <w:bookmarkStart w:id="96" w:name="page97"/>
    <w:bookmarkEnd w:id="96"/>
    <w:p>
      <w:pPr>
        <w:spacing w:after="0" w:line="25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0">
                      <a:extLst>
                        <a:ext uri="{28A0092B-C50C-407E-A947-70E740481C1C}"/>
                      </a:extLst>
                    </a:blip>
                    <a:srcRect/>
                    <a:stretch>
                      <a:fillRect/>
                    </a:stretch>
                  </pic:blipFill>
                  <pic:spPr bwMode="auto">
                    <a:xfrm>
                      <a:off x="0" y="0"/>
                      <a:ext cx="7181850" cy="36830"/>
                    </a:xfrm>
                    <a:prstGeom prst="rect">
                      <a:avLst/>
                    </a:prstGeom>
                    <a:noFill/>
                  </pic:spPr>
                </pic:pic>
              </a:graphicData>
            </a:graphic>
          </wp:anchor>
        </w:drawing>
        <w:t>delivered under the Act in connection with the offering or the sale of Shares, the Company will not file any amendment to the Registration Statement or supplement (including any Prospectus Supplement) to the Base Prospectus unless the Company has furnished to the Manager a copy for its review prior to filing and will not file any such proposed amendment or supplement to which the Manager reasonably objects. The Company has properly completed the Prospectus, in a form approved by the Manager, and filed such Prospectus will cause any supplement to the Prospectus filed after the Effective Date to be properly completed, in a form approved by the Manager, and will file such supplement with the Commission pursuant to the applicable paragraph of Rule 424(b) within the time period prescribed thereby and will provide evidence reasonably satisfactory to the Manager of such timely filing. The Company will promptly advise the Manager (i) when the Prospectus, and any supplement thereto, shall have been filed (if required) with the Commission pursuant to Rule 424(b), (ii) when, during any period when the delivery of a prospectus (whether physically or through compliance with Rule 172, 173 or any similar rule) is required under the Act in connection with the offering or sale of the Shares, any amendment to the Registration Statement shall have been filed or become effective (other than any annual report of the Company filed pursuant to Section 13(a) or 15(d) of the Exchange Act), (iii) of any request by the Commission or its staff for any amendment of the Registration Statement,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and (v) of the receipt by the Company of any notification with respect to the suspension of the qualification of the Shares for sale in any jurisdiction or the institution or threatening of any proceeding for such purpose. The Company will use its best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best efforts to have such amendment or new registration statement declared effective as soon as practicable.</w:t>
      </w:r>
    </w:p>
    <w:p>
      <w:pPr>
        <w:spacing w:after="0" w:line="89" w:lineRule="exact"/>
        <w:rPr>
          <w:sz w:val="20"/>
          <w:szCs w:val="20"/>
          <w:color w:val="auto"/>
        </w:rPr>
      </w:pPr>
    </w:p>
    <w:p>
      <w:pPr>
        <w:ind w:firstLine="403"/>
        <w:spacing w:after="0" w:line="255" w:lineRule="auto"/>
        <w:tabs>
          <w:tab w:leader="none" w:pos="639"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Subsequent Events</w:t>
      </w:r>
      <w:r>
        <w:rPr>
          <w:rFonts w:ascii="Times New Roman" w:cs="Times New Roman" w:eastAsia="Times New Roman" w:hAnsi="Times New Roman"/>
          <w:sz w:val="17"/>
          <w:szCs w:val="17"/>
          <w:color w:val="auto"/>
        </w:rPr>
        <w:t>. If, at any time on or after an Applicable Time but prior to the related Settlement Date, any event occurs as a result of which the Registration Statement or Prospectus would include any untrue statement of a material fact or omit to state any material fact necessary to make the statements therein in the light of the circumstances under which they were made or the circumstances then prevailing not misleading, the Company will (i) notify promptly the Manager so that any use of the Registration Statement or Prospectus may cease until such are amended or supplemented; (ii) amend or supplement the Registration Statement or Prospectus to correct such statement or omission; and (iii) supply any such amendment or supplement to the Manager in such quantities as the Manager may reasonably request.</w:t>
      </w:r>
    </w:p>
    <w:p>
      <w:pPr>
        <w:spacing w:after="0" w:line="11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9920"/>
          </w:cols>
          <w:pgMar w:left="1160" w:top="263" w:right="819" w:bottom="1440" w:gutter="0" w:footer="0" w:header="0"/>
        </w:sectPr>
      </w:pPr>
    </w:p>
    <w:bookmarkStart w:id="97" w:name="page98"/>
    <w:bookmarkEnd w:id="97"/>
    <w:p>
      <w:pPr>
        <w:ind w:firstLine="403"/>
        <w:spacing w:after="0" w:line="253" w:lineRule="auto"/>
        <w:tabs>
          <w:tab w:leader="none" w:pos="629"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1">
                      <a:extLst>
                        <a:ext uri="{28A0092B-C50C-407E-A947-70E740481C1C}"/>
                      </a:extLst>
                    </a:blip>
                    <a:srcRect/>
                    <a:stretch>
                      <a:fillRect/>
                    </a:stretch>
                  </pic:blipFill>
                  <pic:spPr bwMode="auto">
                    <a:xfrm>
                      <a:off x="0" y="0"/>
                      <a:ext cx="7181850" cy="36830"/>
                    </a:xfrm>
                    <a:prstGeom prst="rect">
                      <a:avLst/>
                    </a:prstGeom>
                    <a:noFill/>
                  </pic:spPr>
                </pic:pic>
              </a:graphicData>
            </a:graphic>
          </wp:anchor>
        </w:drawing>
        <w:t>Notification of Subsequent Filings</w:t>
      </w:r>
      <w:r>
        <w:rPr>
          <w:rFonts w:ascii="Times New Roman" w:cs="Times New Roman" w:eastAsia="Times New Roman" w:hAnsi="Times New Roman"/>
          <w:sz w:val="17"/>
          <w:szCs w:val="17"/>
          <w:color w:val="auto"/>
        </w:rPr>
        <w:t>. During any period when the delivery of a prospectus relating to the Shares is required (including in circumstances where such requirement may be satisfied pursuant to Rule 172, 173 or any similar rule) to be delivered under the Act, any event occurs as a result of which the Prospectus as then supplemented would include any untrue statement of a material fact or omit to state any material fact necessary to make the statements therein in the light of the circumstances under which they were made not misleading, such that it shall be necessary to amend the Registration Statement, file a new registration statement or supplement the Prospectus to comply with the Act or the Exchange Act or the respective rules thereunder, including in connection with use or delivery of the Prospectus, the Company promptly will</w:t>
      </w:r>
    </w:p>
    <w:p>
      <w:pPr>
        <w:spacing w:after="0" w:line="1" w:lineRule="exact"/>
        <w:rPr>
          <w:rFonts w:ascii="Times New Roman" w:cs="Times New Roman" w:eastAsia="Times New Roman" w:hAnsi="Times New Roman"/>
          <w:sz w:val="17"/>
          <w:szCs w:val="17"/>
          <w:color w:val="auto"/>
        </w:rPr>
      </w:pPr>
    </w:p>
    <w:p>
      <w:pPr>
        <w:ind w:right="100" w:firstLine="4"/>
        <w:spacing w:after="0" w:line="253" w:lineRule="auto"/>
        <w:tabs>
          <w:tab w:leader="none" w:pos="203"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notify the Manager of any such event, (ii) subject to Section 4(a), prepare and file with the Commission an amendment or supplement or new registration statement which will correct such statement or omission or effect such compliance, (iii) use its best efforts to have any amendment to the Registration Statement or new registration statement declared effective as soon as practicable in order to avoid any disruption in use of the Prospectus and (iv) supply any supplemented Prospectus to the Manager in such quantities as the Manager may reasonably request.</w:t>
      </w:r>
    </w:p>
    <w:p>
      <w:pPr>
        <w:spacing w:after="0" w:line="77" w:lineRule="exact"/>
        <w:rPr>
          <w:rFonts w:ascii="Times New Roman" w:cs="Times New Roman" w:eastAsia="Times New Roman" w:hAnsi="Times New Roman"/>
          <w:sz w:val="17"/>
          <w:szCs w:val="17"/>
          <w:color w:val="auto"/>
        </w:rPr>
      </w:pPr>
    </w:p>
    <w:p>
      <w:pPr>
        <w:ind w:right="160" w:firstLine="403"/>
        <w:spacing w:after="0" w:line="259" w:lineRule="auto"/>
        <w:tabs>
          <w:tab w:leader="none" w:pos="639"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Earnings Statements</w:t>
      </w:r>
      <w:r>
        <w:rPr>
          <w:rFonts w:ascii="Times New Roman" w:cs="Times New Roman" w:eastAsia="Times New Roman" w:hAnsi="Times New Roman"/>
          <w:sz w:val="17"/>
          <w:szCs w:val="17"/>
          <w:color w:val="auto"/>
        </w:rPr>
        <w:t>. As soon as practicable, the Company will make generally available to its security holders and to the Manager an earnings statement or statements of the Company and its Subsidiaries which will satisfy the provisions of Section 11(a) of the Act and Rule 158. For the avoidance of doubt, the Company’s compliance with the reporting requirements of the Exchange Act shall be deemed to satisfy the requirements of this Section 4(d).</w:t>
      </w:r>
    </w:p>
    <w:p>
      <w:pPr>
        <w:spacing w:after="0" w:line="73" w:lineRule="exact"/>
        <w:rPr>
          <w:rFonts w:ascii="Times New Roman" w:cs="Times New Roman" w:eastAsia="Times New Roman" w:hAnsi="Times New Roman"/>
          <w:sz w:val="17"/>
          <w:szCs w:val="17"/>
          <w:color w:val="auto"/>
        </w:rPr>
      </w:pPr>
    </w:p>
    <w:p>
      <w:pPr>
        <w:ind w:right="100" w:firstLine="403"/>
        <w:spacing w:after="0" w:line="257" w:lineRule="auto"/>
        <w:tabs>
          <w:tab w:leader="none" w:pos="629"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Registration Statement</w:t>
      </w:r>
      <w:r>
        <w:rPr>
          <w:rFonts w:ascii="Times New Roman" w:cs="Times New Roman" w:eastAsia="Times New Roman" w:hAnsi="Times New Roman"/>
          <w:sz w:val="17"/>
          <w:szCs w:val="17"/>
          <w:color w:val="auto"/>
        </w:rPr>
        <w:t>. Upon the request of the Manager, the Company will furnish to the Manager and counsel for the Manager, without charge, signed copies of the Registration Statement (including exhibits thereto) and, so long as delivery of a prospectus by the Manager or dealer may be required by the Act (including in circumstances where such requirement may be satisfied pursuant to Rule 172, 173 or any similar rule), as many copies of the Prospectus and each Issuer Free Writing Prospectus and any supplement thereto as the Manager may reasonably request. The Company will pay the expenses of printing or other production of all documents relating to the offering.</w:t>
      </w:r>
    </w:p>
    <w:p>
      <w:pPr>
        <w:spacing w:after="0" w:line="73" w:lineRule="exact"/>
        <w:rPr>
          <w:rFonts w:ascii="Times New Roman" w:cs="Times New Roman" w:eastAsia="Times New Roman" w:hAnsi="Times New Roman"/>
          <w:sz w:val="17"/>
          <w:szCs w:val="17"/>
          <w:color w:val="auto"/>
        </w:rPr>
      </w:pPr>
    </w:p>
    <w:p>
      <w:pPr>
        <w:ind w:right="180" w:firstLine="403"/>
        <w:spacing w:after="0" w:line="257" w:lineRule="auto"/>
        <w:tabs>
          <w:tab w:leader="none" w:pos="611"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Qualification of Shares</w:t>
      </w:r>
      <w:r>
        <w:rPr>
          <w:rFonts w:ascii="Times New Roman" w:cs="Times New Roman" w:eastAsia="Times New Roman" w:hAnsi="Times New Roman"/>
          <w:sz w:val="17"/>
          <w:szCs w:val="17"/>
          <w:color w:val="auto"/>
        </w:rPr>
        <w:t>. The Company will arrange, if necessary, for the qualification of the Shares for sale under the laws of such jurisdictions as the Manager may designate and will maintain such qualifications in effect so long as required for the distribution of the Shares; provided that in no event shall the Company be obligated to qualify to do business in any jurisdiction where it is not now so qualified or to take any action that would subject it to service of process in suits, other than those arising out of the offering or sale of the Shares, in any jurisdiction where it is not now so subject.</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9960"/>
          </w:cols>
          <w:pgMar w:left="1160" w:top="263" w:right="779" w:bottom="1440" w:gutter="0" w:footer="0" w:header="0"/>
        </w:sectPr>
      </w:pPr>
    </w:p>
    <w:bookmarkStart w:id="98" w:name="page99"/>
    <w:bookmarkEnd w:id="98"/>
    <w:p>
      <w:pPr>
        <w:ind w:right="60" w:firstLine="403"/>
        <w:spacing w:after="0" w:line="253" w:lineRule="auto"/>
        <w:tabs>
          <w:tab w:leader="none" w:pos="639"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2">
                      <a:extLst>
                        <a:ext uri="{28A0092B-C50C-407E-A947-70E740481C1C}"/>
                      </a:extLst>
                    </a:blip>
                    <a:srcRect/>
                    <a:stretch>
                      <a:fillRect/>
                    </a:stretch>
                  </pic:blipFill>
                  <pic:spPr bwMode="auto">
                    <a:xfrm>
                      <a:off x="0" y="0"/>
                      <a:ext cx="7181850" cy="36830"/>
                    </a:xfrm>
                    <a:prstGeom prst="rect">
                      <a:avLst/>
                    </a:prstGeom>
                    <a:noFill/>
                  </pic:spPr>
                </pic:pic>
              </a:graphicData>
            </a:graphic>
          </wp:anchor>
        </w:drawing>
        <w:t>Free Writing Prospectus</w:t>
      </w:r>
      <w:r>
        <w:rPr>
          <w:rFonts w:ascii="Times New Roman" w:cs="Times New Roman" w:eastAsia="Times New Roman" w:hAnsi="Times New Roman"/>
          <w:sz w:val="17"/>
          <w:szCs w:val="17"/>
          <w:color w:val="auto"/>
        </w:rPr>
        <w:t>. The Company agrees that, unless it has or shall have obtained the prior written consent of the Manager, and the Manager agrees with the Company that, unless it has or shall have obtained, as the case may be, the prior written consent of the Company, it has not made and will not make any offer relating to the Shares that would constitute an Issuer Free Writing Prospectus or that would otherwise constitute a “free writing prospectus” (as defined in Rule 405) required to be filed by the Company with the Commission or retained by the Company under Rule 433. Any such free writing prospectus consented to by the Manager or the Company is hereinafter referred to as a “</w:t>
      </w:r>
      <w:r>
        <w:rPr>
          <w:rFonts w:ascii="Times New Roman" w:cs="Times New Roman" w:eastAsia="Times New Roman" w:hAnsi="Times New Roman"/>
          <w:sz w:val="17"/>
          <w:szCs w:val="17"/>
          <w:u w:val="single" w:color="auto"/>
          <w:color w:val="auto"/>
        </w:rPr>
        <w:t>Permitted Free Writing Prospectus</w:t>
      </w:r>
      <w:r>
        <w:rPr>
          <w:rFonts w:ascii="Times New Roman" w:cs="Times New Roman" w:eastAsia="Times New Roman" w:hAnsi="Times New Roman"/>
          <w:sz w:val="17"/>
          <w:szCs w:val="17"/>
          <w:color w:val="auto"/>
        </w:rPr>
        <w:t>.” The Company agrees that (i) it has treated and will treat, as the case may be, each Permitted Free Writing Prospectus as an Issuer Free Writing Prospectus and (ii) it has complied and will comply, as the case may be, with the requirements of Rules 164 and 433 applicable to any Permitted Free Writing Prospectus, including in respect of timely filing with the Commission, legending and record keeping.</w:t>
      </w:r>
    </w:p>
    <w:p>
      <w:pPr>
        <w:spacing w:after="0" w:line="80" w:lineRule="exact"/>
        <w:rPr>
          <w:rFonts w:ascii="Times New Roman" w:cs="Times New Roman" w:eastAsia="Times New Roman" w:hAnsi="Times New Roman"/>
          <w:sz w:val="17"/>
          <w:szCs w:val="17"/>
          <w:color w:val="auto"/>
        </w:rPr>
      </w:pPr>
    </w:p>
    <w:p>
      <w:pPr>
        <w:ind w:right="20" w:firstLine="403"/>
        <w:spacing w:after="0" w:line="255" w:lineRule="auto"/>
        <w:tabs>
          <w:tab w:leader="none" w:pos="639"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Subsequent Equity Issuances</w:t>
      </w:r>
      <w:r>
        <w:rPr>
          <w:rFonts w:ascii="Times New Roman" w:cs="Times New Roman" w:eastAsia="Times New Roman" w:hAnsi="Times New Roman"/>
          <w:sz w:val="17"/>
          <w:szCs w:val="17"/>
          <w:color w:val="auto"/>
        </w:rPr>
        <w:t>. The Company shall not deliver any Sales Notice hereunder (and any Sales Notice previously delivered shall not apply during such two (2) Trading Days) for at least two (2) Trading Days prior to any date on which the Company or any Subsidiary offers, sells, issues, contracts to sell, contracts to issue or otherwise disposes of, directly or indirectly, any other shares of Common Stock or any Common Stock Equivalents (other than the Shares), subject to Manager’s right to waive this obligation, provided that, without compliance with the foregoing obligation, the Company may issue and sell Common Stock pursuant to any employee equity plan, stock ownership plan or dividend reinvestment plan of the Company in effect at the Execution Time and the Company may issue Common Stock issuable upon the conversion or exercise of Common Stock Equivalents outstanding at the Execution Time.</w:t>
      </w:r>
    </w:p>
    <w:p>
      <w:pPr>
        <w:spacing w:after="0" w:line="74" w:lineRule="exact"/>
        <w:rPr>
          <w:rFonts w:ascii="Times New Roman" w:cs="Times New Roman" w:eastAsia="Times New Roman" w:hAnsi="Times New Roman"/>
          <w:sz w:val="17"/>
          <w:szCs w:val="17"/>
          <w:color w:val="auto"/>
        </w:rPr>
      </w:pPr>
    </w:p>
    <w:p>
      <w:pPr>
        <w:ind w:firstLine="403"/>
        <w:spacing w:after="0" w:line="259" w:lineRule="auto"/>
        <w:tabs>
          <w:tab w:leader="none" w:pos="601"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Market Manipulation</w:t>
      </w:r>
      <w:r>
        <w:rPr>
          <w:rFonts w:ascii="Times New Roman" w:cs="Times New Roman" w:eastAsia="Times New Roman" w:hAnsi="Times New Roman"/>
          <w:sz w:val="17"/>
          <w:szCs w:val="17"/>
          <w:color w:val="auto"/>
        </w:rPr>
        <w:t>. Until the termination of this Agreement, the Company will not take, directly or indirectly, any action designed to or that would constitute or that might reasonably be expected to cause or result in, under the Exchange Act or otherwise, stabilization or manipulation in violation of the Act, Exchange Act or the rules and regulations thereunder of the price of any security of the Company to facilitate the sale or resale of the Shares or otherwise violate any provision of Regulation M under the Exchange Act.</w:t>
      </w:r>
    </w:p>
    <w:p>
      <w:pPr>
        <w:spacing w:after="0" w:line="73" w:lineRule="exact"/>
        <w:rPr>
          <w:rFonts w:ascii="Times New Roman" w:cs="Times New Roman" w:eastAsia="Times New Roman" w:hAnsi="Times New Roman"/>
          <w:sz w:val="17"/>
          <w:szCs w:val="17"/>
          <w:color w:val="auto"/>
        </w:rPr>
      </w:pPr>
    </w:p>
    <w:p>
      <w:pPr>
        <w:ind w:right="20" w:firstLine="403"/>
        <w:spacing w:after="0" w:line="264" w:lineRule="auto"/>
        <w:tabs>
          <w:tab w:leader="none" w:pos="601"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Notification of Incorrect Certificate</w:t>
      </w:r>
      <w:r>
        <w:rPr>
          <w:rFonts w:ascii="Times New Roman" w:cs="Times New Roman" w:eastAsia="Times New Roman" w:hAnsi="Times New Roman"/>
          <w:sz w:val="17"/>
          <w:szCs w:val="17"/>
          <w:color w:val="auto"/>
        </w:rPr>
        <w:t>. The Company will, at any time during the term of this Agreement, as supplemented from time to time, advise the Manager immediately after it shall have received notice or obtained knowledge thereof, of any information or fact that would alter or affect any opinion, certificate, letter and other document provided to the Manager pursuant to Section 6 herein.</w:t>
      </w:r>
    </w:p>
    <w:p>
      <w:pPr>
        <w:spacing w:after="0" w:line="10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9980"/>
          </w:cols>
          <w:pgMar w:left="1160" w:top="263" w:right="759" w:bottom="1440" w:gutter="0" w:footer="0" w:header="0"/>
        </w:sectPr>
      </w:pPr>
    </w:p>
    <w:bookmarkStart w:id="99" w:name="page100"/>
    <w:bookmarkEnd w:id="99"/>
    <w:p>
      <w:pPr>
        <w:ind w:right="40" w:firstLine="403"/>
        <w:spacing w:after="0" w:line="275" w:lineRule="auto"/>
        <w:tabs>
          <w:tab w:leader="none" w:pos="639" w:val="left"/>
        </w:tabs>
        <w:numPr>
          <w:ilvl w:val="1"/>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3">
                      <a:extLst>
                        <a:ext uri="{28A0092B-C50C-407E-A947-70E740481C1C}"/>
                      </a:extLst>
                    </a:blip>
                    <a:srcRect/>
                    <a:stretch>
                      <a:fillRect/>
                    </a:stretch>
                  </pic:blipFill>
                  <pic:spPr bwMode="auto">
                    <a:xfrm>
                      <a:off x="0" y="0"/>
                      <a:ext cx="7181850" cy="36830"/>
                    </a:xfrm>
                    <a:prstGeom prst="rect">
                      <a:avLst/>
                    </a:prstGeom>
                    <a:noFill/>
                  </pic:spPr>
                </pic:pic>
              </a:graphicData>
            </a:graphic>
          </wp:anchor>
        </w:drawing>
        <w:t>Certification of Accuracy of Disclosure</w:t>
      </w:r>
      <w:r>
        <w:rPr>
          <w:rFonts w:ascii="Times New Roman" w:cs="Times New Roman" w:eastAsia="Times New Roman" w:hAnsi="Times New Roman"/>
          <w:sz w:val="16"/>
          <w:szCs w:val="16"/>
          <w:color w:val="auto"/>
        </w:rPr>
        <w:t>. Upon commencement of the offering of the Shares under this Agreement (and upon the recommencement of the offering of the Shares under this Agreement following the termination of a Suspension hereunder lasting more than thirty</w:t>
      </w:r>
    </w:p>
    <w:p>
      <w:pPr>
        <w:spacing w:after="0" w:line="1" w:lineRule="exact"/>
        <w:rPr>
          <w:rFonts w:ascii="Times New Roman" w:cs="Times New Roman" w:eastAsia="Times New Roman" w:hAnsi="Times New Roman"/>
          <w:sz w:val="16"/>
          <w:szCs w:val="16"/>
          <w:color w:val="auto"/>
        </w:rPr>
      </w:pPr>
    </w:p>
    <w:p>
      <w:pPr>
        <w:ind w:right="20" w:firstLine="4"/>
        <w:spacing w:after="0" w:line="265" w:lineRule="auto"/>
        <w:tabs>
          <w:tab w:leader="none" w:pos="322"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Trading Days), and each time that (i) the Registration Statement or Prospectus shall be amended or supplemented, other than by means of Incorporated Documents, (ii) the Company files its Annual Report on Form 10-K under the Exchange Act, (iii) the Company files its Quarterly Reports on Form 10-Q under the Exchange Act, (iv) the Company files a Current Report on Form 8-K containing amended financial information (other than information that is furnished and not filed), if the Manager reasonably determines that the information in such Form 8-K is material, or</w:t>
      </w:r>
    </w:p>
    <w:p>
      <w:pPr>
        <w:spacing w:after="0" w:line="2" w:lineRule="exact"/>
        <w:rPr>
          <w:rFonts w:ascii="Times New Roman" w:cs="Times New Roman" w:eastAsia="Times New Roman" w:hAnsi="Times New Roman"/>
          <w:sz w:val="16"/>
          <w:szCs w:val="16"/>
          <w:color w:val="auto"/>
        </w:rPr>
      </w:pPr>
    </w:p>
    <w:p>
      <w:pPr>
        <w:spacing w:after="0" w:line="25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(v) the Shares are delivered to the Manager as principal at the Time of Delivery pursuant to a Terms Agreement (such commencement or recommencement date and each such date referred to in (i), (ii), (iii), (iv) and (v) above, a “</w:t>
      </w:r>
      <w:r>
        <w:rPr>
          <w:rFonts w:ascii="Times New Roman" w:cs="Times New Roman" w:eastAsia="Times New Roman" w:hAnsi="Times New Roman"/>
          <w:sz w:val="17"/>
          <w:szCs w:val="17"/>
          <w:u w:val="single" w:color="auto"/>
          <w:color w:val="auto"/>
        </w:rPr>
        <w:t>Representation Date</w:t>
      </w:r>
      <w:r>
        <w:rPr>
          <w:rFonts w:ascii="Times New Roman" w:cs="Times New Roman" w:eastAsia="Times New Roman" w:hAnsi="Times New Roman"/>
          <w:sz w:val="17"/>
          <w:szCs w:val="17"/>
          <w:color w:val="auto"/>
        </w:rPr>
        <w:t>”), unless waived by the Manager, the Company shall furnish or cause to be furnished to the Manager forthwith a certificate dated and delivered on the Representation Date, in form reasonably satisfactory to the Manager to the effect that the statements contained in the certificate referred to in Section 6 of this Agreement which were last furnished to the Manager are true and correct at the Representation Date, as though made at and as of such date (except that such statements shall be deemed to relate to the Registration Statement and the Prospectus as amended and supplemented to such date) or, in lieu of such certificate, a certificate of the same tenor as the certificate referred to in said Section 6, modified as necessary to relate to the Registration Statement and the Prospectus as amended and supplemented to the date of delivery of such certificate.</w:t>
      </w:r>
    </w:p>
    <w:p>
      <w:pPr>
        <w:spacing w:after="0" w:line="80" w:lineRule="exact"/>
        <w:rPr>
          <w:rFonts w:ascii="Times New Roman" w:cs="Times New Roman" w:eastAsia="Times New Roman" w:hAnsi="Times New Roman"/>
          <w:sz w:val="16"/>
          <w:szCs w:val="16"/>
          <w:color w:val="auto"/>
        </w:rPr>
      </w:pPr>
    </w:p>
    <w:p>
      <w:pPr>
        <w:ind w:firstLine="403"/>
        <w:spacing w:after="0" w:line="253" w:lineRule="auto"/>
        <w:tabs>
          <w:tab w:leader="none" w:pos="601"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Bring Down Opinions; Negative Assurance</w:t>
      </w:r>
      <w:r>
        <w:rPr>
          <w:rFonts w:ascii="Times New Roman" w:cs="Times New Roman" w:eastAsia="Times New Roman" w:hAnsi="Times New Roman"/>
          <w:sz w:val="17"/>
          <w:szCs w:val="17"/>
          <w:color w:val="auto"/>
        </w:rPr>
        <w:t>. Within five (5) Trading Days of each Representation Date, unless waived by the Manager, the Company shall furnish or cause to be furnished forthwith to the Manager and to counsel to the Manager a written opinion of counsel to the Company (“</w:t>
      </w:r>
      <w:r>
        <w:rPr>
          <w:rFonts w:ascii="Times New Roman" w:cs="Times New Roman" w:eastAsia="Times New Roman" w:hAnsi="Times New Roman"/>
          <w:sz w:val="17"/>
          <w:szCs w:val="17"/>
          <w:u w:val="single" w:color="auto"/>
          <w:color w:val="auto"/>
        </w:rPr>
        <w:t>Company Counsel</w:t>
      </w:r>
      <w:r>
        <w:rPr>
          <w:rFonts w:ascii="Times New Roman" w:cs="Times New Roman" w:eastAsia="Times New Roman" w:hAnsi="Times New Roman"/>
          <w:sz w:val="17"/>
          <w:szCs w:val="17"/>
          <w:color w:val="auto"/>
        </w:rPr>
        <w:t>”) addressed to the Manager and dated and delivered within five (5) Trading Days of such Representation Date, in form and substance reasonably satisfactory to the Manager, including a negative assurance representation. The requirement to furnish or cause to be furnished an opinion (but not with respect to a negative assurance representation) under this Section 4(l) shall be waived for any Representation Date other than a Representation Date on which a material amendment to the Registration Statement or Prospectus is made or the Company files its Annual Report on Form 10-K or a material amendment thereto under the Exchange Act, unless the Manager reasonably requests such deliverable required by this Section 4(l) in connection with a Representation Date, upon which request such deliverable shall be deliverable hereunder.</w:t>
      </w:r>
    </w:p>
    <w:p>
      <w:pPr>
        <w:spacing w:after="0" w:line="80" w:lineRule="exact"/>
        <w:rPr>
          <w:rFonts w:ascii="Times New Roman" w:cs="Times New Roman" w:eastAsia="Times New Roman" w:hAnsi="Times New Roman"/>
          <w:sz w:val="17"/>
          <w:szCs w:val="17"/>
          <w:color w:val="auto"/>
        </w:rPr>
      </w:pPr>
    </w:p>
    <w:p>
      <w:pPr>
        <w:jc w:val="both"/>
        <w:ind w:right="80" w:firstLine="403"/>
        <w:spacing w:after="0" w:line="259" w:lineRule="auto"/>
        <w:tabs>
          <w:tab w:leader="none" w:pos="686"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Auditor Bring Down “Comfort” Letter</w:t>
      </w:r>
      <w:r>
        <w:rPr>
          <w:rFonts w:ascii="Times New Roman" w:cs="Times New Roman" w:eastAsia="Times New Roman" w:hAnsi="Times New Roman"/>
          <w:sz w:val="17"/>
          <w:szCs w:val="17"/>
          <w:color w:val="auto"/>
        </w:rPr>
        <w:t>. Within five (5) Trading Days of each Representation Date, unless waived by the Manager, the Company shall cause (1) the Company’s auditors (the “</w:t>
      </w:r>
      <w:r>
        <w:rPr>
          <w:rFonts w:ascii="Times New Roman" w:cs="Times New Roman" w:eastAsia="Times New Roman" w:hAnsi="Times New Roman"/>
          <w:sz w:val="17"/>
          <w:szCs w:val="17"/>
          <w:u w:val="single" w:color="auto"/>
          <w:color w:val="auto"/>
        </w:rPr>
        <w:t>Accountants</w:t>
      </w:r>
      <w:r>
        <w:rPr>
          <w:rFonts w:ascii="Times New Roman" w:cs="Times New Roman" w:eastAsia="Times New Roman" w:hAnsi="Times New Roman"/>
          <w:sz w:val="17"/>
          <w:szCs w:val="17"/>
          <w:color w:val="auto"/>
        </w:rPr>
        <w:t>”), or other independent accountants satisfactory to the Manager forthwith to furnish the Manager a letter, and (2) the Chief Financial Officer of the Company forthwith to furnish the Manager a certificate, in each case dated within five (5) Trading Days of such Representation Date, in form satisfactory to the Manager, of the same tenor as the</w:t>
      </w:r>
    </w:p>
    <w:p>
      <w:pPr>
        <w:spacing w:after="0" w:line="11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9960"/>
          </w:cols>
          <w:pgMar w:left="1160" w:top="263" w:right="779" w:bottom="1440" w:gutter="0" w:footer="0" w:header="0"/>
        </w:sectPr>
      </w:pPr>
    </w:p>
    <w:bookmarkStart w:id="100" w:name="page101"/>
    <w:bookmarkEnd w:id="100"/>
    <w:p>
      <w:pPr>
        <w:ind w:right="80"/>
        <w:spacing w:after="0" w:line="25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4">
                      <a:extLst>
                        <a:ext uri="{28A0092B-C50C-407E-A947-70E740481C1C}"/>
                      </a:extLst>
                    </a:blip>
                    <a:srcRect/>
                    <a:stretch>
                      <a:fillRect/>
                    </a:stretch>
                  </pic:blipFill>
                  <pic:spPr bwMode="auto">
                    <a:xfrm>
                      <a:off x="0" y="0"/>
                      <a:ext cx="7181850" cy="36830"/>
                    </a:xfrm>
                    <a:prstGeom prst="rect">
                      <a:avLst/>
                    </a:prstGeom>
                    <a:noFill/>
                  </pic:spPr>
                </pic:pic>
              </a:graphicData>
            </a:graphic>
          </wp:anchor>
        </w:drawing>
        <w:t>letters and certificate referred to in Section 6 of this Agreement but modified to relate to the Registration Statement and the Prospectus, as amended and supplemented to the date of such letters and certificate. The requirement to furnish or cause to be furnished a “comfort” letter under this Section 4(m) shall be waived for any Representation Date other than a Representation Date on which a material amendment to the Registration Statement or Prospectus is made or the Company files its Annual Report on Form 10-K or a material amendment thereto under the Exchange Act, unless the Manager reasonably requests the deliverables required by this Section 4(m) in connection with a Representation Date, upon which request such deliverable shall be deliverable hereunder.</w:t>
      </w:r>
    </w:p>
    <w:p>
      <w:pPr>
        <w:spacing w:after="0" w:line="78" w:lineRule="exact"/>
        <w:rPr>
          <w:sz w:val="20"/>
          <w:szCs w:val="20"/>
          <w:color w:val="auto"/>
        </w:rPr>
      </w:pPr>
    </w:p>
    <w:p>
      <w:pPr>
        <w:ind w:right="60" w:firstLine="403"/>
        <w:spacing w:after="0" w:line="253" w:lineRule="auto"/>
        <w:tabs>
          <w:tab w:leader="none" w:pos="639"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Due Diligence Session</w:t>
      </w:r>
      <w:r>
        <w:rPr>
          <w:rFonts w:ascii="Times New Roman" w:cs="Times New Roman" w:eastAsia="Times New Roman" w:hAnsi="Times New Roman"/>
          <w:sz w:val="17"/>
          <w:szCs w:val="17"/>
          <w:color w:val="auto"/>
        </w:rPr>
        <w:t>. Upon commencement of the offering of the Shares under this Agreement (and upon the recommencement of the offering of the Shares under this Agreement following the termination of a Suspension hereunder lasting more than thirty (30) Trading Days), and at each Representation Date, the Company will conduct a due diligence session, in form and substance, reasonably satisfactory to the Manager, which shall include representatives of management and Accountants. The Company shall cooperate timely with any reasonable due diligence request from or review conducted by the Manager or its agents from time to time in connection with the transactions contemplated by this Agreement, including, without limitation, providing information and available documents and access to appropriate corporate officers and the Company’s agents during regular business hours, and timely furnishing or causing to be furnished such certificates, letters and opinions from the Company, its officers and its agents, as the Manager may reasonably request. The Company shall reimburse the Manager for Manager’s counsel’s fees associated with each such due diligence update session occurring in connection with a Representation Date, up to a maximum of $2,500 per such Representation Date, plus any incidental expenses incurred by the Manager in connection therewith.</w:t>
      </w:r>
    </w:p>
    <w:p>
      <w:pPr>
        <w:spacing w:after="0" w:line="78" w:lineRule="exact"/>
        <w:rPr>
          <w:rFonts w:ascii="Times New Roman" w:cs="Times New Roman" w:eastAsia="Times New Roman" w:hAnsi="Times New Roman"/>
          <w:sz w:val="17"/>
          <w:szCs w:val="17"/>
          <w:color w:val="auto"/>
        </w:rPr>
      </w:pPr>
    </w:p>
    <w:p>
      <w:pPr>
        <w:ind w:right="100" w:firstLine="403"/>
        <w:spacing w:after="0" w:line="279" w:lineRule="auto"/>
        <w:tabs>
          <w:tab w:leader="none" w:pos="639"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Acknowledgment of Trading</w:t>
      </w:r>
      <w:r>
        <w:rPr>
          <w:rFonts w:ascii="Times New Roman" w:cs="Times New Roman" w:eastAsia="Times New Roman" w:hAnsi="Times New Roman"/>
          <w:sz w:val="17"/>
          <w:szCs w:val="17"/>
          <w:color w:val="auto"/>
        </w:rPr>
        <w:t>. The Company consents to the Manager trading in the Common Stock for the Manager’s own account and for the account of its clients at the same time as sales of the Shares occur pursuant to this Agreement or pursuant to a Terms Agreement.</w:t>
      </w:r>
    </w:p>
    <w:p>
      <w:pPr>
        <w:spacing w:after="0" w:line="54" w:lineRule="exact"/>
        <w:rPr>
          <w:rFonts w:ascii="Times New Roman" w:cs="Times New Roman" w:eastAsia="Times New Roman" w:hAnsi="Times New Roman"/>
          <w:sz w:val="17"/>
          <w:szCs w:val="17"/>
          <w:color w:val="auto"/>
        </w:rPr>
      </w:pPr>
    </w:p>
    <w:p>
      <w:pPr>
        <w:ind w:firstLine="403"/>
        <w:spacing w:after="0" w:line="259" w:lineRule="auto"/>
        <w:tabs>
          <w:tab w:leader="none" w:pos="639"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Disclosure of Shares Sold</w:t>
      </w:r>
      <w:r>
        <w:rPr>
          <w:rFonts w:ascii="Times New Roman" w:cs="Times New Roman" w:eastAsia="Times New Roman" w:hAnsi="Times New Roman"/>
          <w:sz w:val="17"/>
          <w:szCs w:val="17"/>
          <w:color w:val="auto"/>
        </w:rPr>
        <w:t>. The Company will disclose in its Annual Reports on Form 10-K and Quarterly Reports on Form 10-Q, as applicable, the number of Shares sold through the Manager under this Agreement, the Net Proceeds to the Company and the compensation paid by the Company with respect to sales of Shares pursuant to this Agreement during the relevant quarter; and, if required by any subsequent change in Commission policy or request, more frequently by means of a Current Report on Form 8-K or a further Prospectus Supplement.</w:t>
      </w:r>
    </w:p>
    <w:p>
      <w:pPr>
        <w:spacing w:after="0" w:line="11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9960"/>
          </w:cols>
          <w:pgMar w:left="1160" w:top="263" w:right="779" w:bottom="1440" w:gutter="0" w:footer="0" w:header="0"/>
        </w:sectPr>
      </w:pPr>
    </w:p>
    <w:bookmarkStart w:id="101" w:name="page102"/>
    <w:bookmarkEnd w:id="101"/>
    <w:p>
      <w:pPr>
        <w:ind w:right="160" w:firstLine="403"/>
        <w:spacing w:after="0" w:line="264" w:lineRule="auto"/>
        <w:tabs>
          <w:tab w:leader="none" w:pos="639"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5">
                      <a:extLst>
                        <a:ext uri="{28A0092B-C50C-407E-A947-70E740481C1C}"/>
                      </a:extLst>
                    </a:blip>
                    <a:srcRect/>
                    <a:stretch>
                      <a:fillRect/>
                    </a:stretch>
                  </pic:blipFill>
                  <pic:spPr bwMode="auto">
                    <a:xfrm>
                      <a:off x="0" y="0"/>
                      <a:ext cx="7181850" cy="36830"/>
                    </a:xfrm>
                    <a:prstGeom prst="rect">
                      <a:avLst/>
                    </a:prstGeom>
                    <a:noFill/>
                  </pic:spPr>
                </pic:pic>
              </a:graphicData>
            </a:graphic>
          </wp:anchor>
        </w:drawing>
        <w:t>Rescission Right</w:t>
      </w:r>
      <w:r>
        <w:rPr>
          <w:rFonts w:ascii="Times New Roman" w:cs="Times New Roman" w:eastAsia="Times New Roman" w:hAnsi="Times New Roman"/>
          <w:sz w:val="17"/>
          <w:szCs w:val="17"/>
          <w:color w:val="auto"/>
        </w:rPr>
        <w:t>. If to the knowledge of the Company, the conditions set forth in Section 6 shall not have been satisfied as of the applicable Settlement Date, the Company will offer to any person who has agreed to purchase Shares from the Company as the result of an offer to purchase solicited by the Manager the right to refuse to purchase and pay for such Shares.</w:t>
      </w:r>
    </w:p>
    <w:p>
      <w:pPr>
        <w:spacing w:after="0" w:line="68" w:lineRule="exact"/>
        <w:rPr>
          <w:rFonts w:ascii="Times New Roman" w:cs="Times New Roman" w:eastAsia="Times New Roman" w:hAnsi="Times New Roman"/>
          <w:sz w:val="17"/>
          <w:szCs w:val="17"/>
          <w:color w:val="auto"/>
        </w:rPr>
      </w:pPr>
    </w:p>
    <w:p>
      <w:pPr>
        <w:ind w:firstLine="403"/>
        <w:spacing w:after="0" w:line="255" w:lineRule="auto"/>
        <w:tabs>
          <w:tab w:leader="none" w:pos="611"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Bring Down of Representations and Warranties</w:t>
      </w:r>
      <w:r>
        <w:rPr>
          <w:rFonts w:ascii="Times New Roman" w:cs="Times New Roman" w:eastAsia="Times New Roman" w:hAnsi="Times New Roman"/>
          <w:sz w:val="17"/>
          <w:szCs w:val="17"/>
          <w:color w:val="auto"/>
        </w:rPr>
        <w:t>. Each acceptance by the Company of an offer to purchase the Shares hereunder, and each execution and delivery by the Company of a Terms Agreement, shall be deemed to be an affirmation to the Manager that the representations and warranties of the Company contained in or made pursuant to this Agreement are true and correct as of the date of such acceptance or of such Terms Agreement as though made at and as of such date, and an undertaking that such representations and warranties will be true and correct as of the Settlement Date for the Shares relating to such acceptance or as of the Time of Delivery relating to such sale, as the case may be, as though made at and as of such date (except that such representations and warranties shall be deemed to relate to the Registration Statement and the Prospectus as amended and supplemented relating to such Shares).</w:t>
      </w:r>
    </w:p>
    <w:p>
      <w:pPr>
        <w:spacing w:after="0" w:line="74" w:lineRule="exact"/>
        <w:rPr>
          <w:rFonts w:ascii="Times New Roman" w:cs="Times New Roman" w:eastAsia="Times New Roman" w:hAnsi="Times New Roman"/>
          <w:sz w:val="17"/>
          <w:szCs w:val="17"/>
          <w:color w:val="auto"/>
        </w:rPr>
      </w:pPr>
    </w:p>
    <w:p>
      <w:pPr>
        <w:ind w:firstLine="403"/>
        <w:spacing w:after="0" w:line="259" w:lineRule="auto"/>
        <w:tabs>
          <w:tab w:leader="none" w:pos="6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Reservation of Shares</w:t>
      </w:r>
      <w:r>
        <w:rPr>
          <w:rFonts w:ascii="Times New Roman" w:cs="Times New Roman" w:eastAsia="Times New Roman" w:hAnsi="Times New Roman"/>
          <w:sz w:val="17"/>
          <w:szCs w:val="17"/>
          <w:color w:val="auto"/>
        </w:rPr>
        <w:t>. The Company shall ensure that there are at all times sufficient shares of Common Stock to provide for the issuance, free of any preemptive rights, out of its authorized but unissued shares of Common Stock or shares of Common Stock held in treasury, of the maximum aggregate number of Shares authorized for issuance by the Board pursuant to the terms of this Agreement. The Company will use its commercially reasonable efforts to cause the Shares to be listed for trading on the Trading Market and to maintain such listing.</w:t>
      </w:r>
    </w:p>
    <w:p>
      <w:pPr>
        <w:spacing w:after="0" w:line="73" w:lineRule="exact"/>
        <w:rPr>
          <w:rFonts w:ascii="Times New Roman" w:cs="Times New Roman" w:eastAsia="Times New Roman" w:hAnsi="Times New Roman"/>
          <w:sz w:val="17"/>
          <w:szCs w:val="17"/>
          <w:color w:val="auto"/>
        </w:rPr>
      </w:pPr>
    </w:p>
    <w:p>
      <w:pPr>
        <w:ind w:right="20" w:firstLine="403"/>
        <w:spacing w:after="0" w:line="259" w:lineRule="auto"/>
        <w:tabs>
          <w:tab w:leader="none" w:pos="601"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Obligation Under Exchange Act</w:t>
      </w:r>
      <w:r>
        <w:rPr>
          <w:rFonts w:ascii="Times New Roman" w:cs="Times New Roman" w:eastAsia="Times New Roman" w:hAnsi="Times New Roman"/>
          <w:sz w:val="17"/>
          <w:szCs w:val="17"/>
          <w:color w:val="auto"/>
        </w:rPr>
        <w:t>. During any period when the delivery of a prospectus relating to the Shares is required (including in circumstances where such requirement may be satisfied pursuant to Rule 172, 173 or any similar rule) to be delivered under the Act, the Company will file all documents required to be filed with the Commission pursuant to the Exchange Act within the time periods required by the Exchange Act and the regulations thereunder.</w:t>
      </w:r>
    </w:p>
    <w:p>
      <w:pPr>
        <w:spacing w:after="0" w:line="73" w:lineRule="exact"/>
        <w:rPr>
          <w:rFonts w:ascii="Times New Roman" w:cs="Times New Roman" w:eastAsia="Times New Roman" w:hAnsi="Times New Roman"/>
          <w:sz w:val="17"/>
          <w:szCs w:val="17"/>
          <w:color w:val="auto"/>
        </w:rPr>
      </w:pPr>
    </w:p>
    <w:p>
      <w:pPr>
        <w:ind w:right="480" w:firstLine="403"/>
        <w:spacing w:after="0" w:line="279" w:lineRule="auto"/>
        <w:tabs>
          <w:tab w:leader="none" w:pos="639"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DTC Facility</w:t>
      </w:r>
      <w:r>
        <w:rPr>
          <w:rFonts w:ascii="Times New Roman" w:cs="Times New Roman" w:eastAsia="Times New Roman" w:hAnsi="Times New Roman"/>
          <w:sz w:val="17"/>
          <w:szCs w:val="17"/>
          <w:color w:val="auto"/>
        </w:rPr>
        <w:t>. The Company shall cooperate with the Manager and use its reasonable efforts to permit the Shares to be eligible for clearance and settlement through the facilities of DTC.</w:t>
      </w:r>
    </w:p>
    <w:p>
      <w:pPr>
        <w:spacing w:after="0" w:line="54" w:lineRule="exact"/>
        <w:rPr>
          <w:rFonts w:ascii="Times New Roman" w:cs="Times New Roman" w:eastAsia="Times New Roman" w:hAnsi="Times New Roman"/>
          <w:sz w:val="17"/>
          <w:szCs w:val="17"/>
          <w:color w:val="auto"/>
        </w:rPr>
      </w:pPr>
    </w:p>
    <w:p>
      <w:pPr>
        <w:ind w:left="640" w:hanging="237"/>
        <w:spacing w:after="0"/>
        <w:tabs>
          <w:tab w:leader="none" w:pos="64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Use of Proceeds</w:t>
      </w:r>
      <w:r>
        <w:rPr>
          <w:rFonts w:ascii="Times New Roman" w:cs="Times New Roman" w:eastAsia="Times New Roman" w:hAnsi="Times New Roman"/>
          <w:sz w:val="17"/>
          <w:szCs w:val="17"/>
          <w:color w:val="auto"/>
        </w:rPr>
        <w:t>. The Company will apply the Net Proceeds from the sale of the Shares in the manner set forth in the Prospectus.</w:t>
      </w:r>
    </w:p>
    <w:p>
      <w:pPr>
        <w:spacing w:after="0" w:line="110" w:lineRule="exact"/>
        <w:rPr>
          <w:rFonts w:ascii="Times New Roman" w:cs="Times New Roman" w:eastAsia="Times New Roman" w:hAnsi="Times New Roman"/>
          <w:sz w:val="17"/>
          <w:szCs w:val="17"/>
          <w:color w:val="auto"/>
        </w:rPr>
      </w:pPr>
    </w:p>
    <w:p>
      <w:pPr>
        <w:ind w:right="200" w:firstLine="403"/>
        <w:spacing w:after="0" w:line="259" w:lineRule="auto"/>
        <w:tabs>
          <w:tab w:leader="none" w:pos="677"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Filing of Prospectus Supplement</w:t>
      </w:r>
      <w:r>
        <w:rPr>
          <w:rFonts w:ascii="Times New Roman" w:cs="Times New Roman" w:eastAsia="Times New Roman" w:hAnsi="Times New Roman"/>
          <w:sz w:val="17"/>
          <w:szCs w:val="17"/>
          <w:color w:val="auto"/>
        </w:rPr>
        <w:t>. If any sales are made pursuant to this Agreement which are not made in “at the market” offerings as defined in Rule 415, including, without limitation, any Placement pursuant to a Terms Agreement, the Company shall file a Prospectus Supplement describing the terms of such transaction, the amount of Shares sold, the price thereof, the Manager’s compensation, and such other information as may be required pursuant to Rule 424 and Rule 430B, as applicable, within the time required by Rule 424.</w:t>
      </w:r>
    </w:p>
    <w:p>
      <w:pPr>
        <w:spacing w:after="0" w:line="11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9960"/>
          </w:cols>
          <w:pgMar w:left="1160" w:top="263" w:right="779" w:bottom="1440" w:gutter="0" w:footer="0" w:header="0"/>
        </w:sectPr>
      </w:pPr>
    </w:p>
    <w:bookmarkStart w:id="102" w:name="page103"/>
    <w:bookmarkEnd w:id="102"/>
    <w:p>
      <w:pPr>
        <w:ind w:left="400" w:firstLine="403"/>
        <w:spacing w:after="0" w:line="255" w:lineRule="auto"/>
        <w:tabs>
          <w:tab w:leader="none" w:pos="1039"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6">
                      <a:extLst>
                        <a:ext uri="{28A0092B-C50C-407E-A947-70E740481C1C}"/>
                      </a:extLst>
                    </a:blip>
                    <a:srcRect/>
                    <a:stretch>
                      <a:fillRect/>
                    </a:stretch>
                  </pic:blipFill>
                  <pic:spPr bwMode="auto">
                    <a:xfrm>
                      <a:off x="0" y="0"/>
                      <a:ext cx="7181850" cy="36830"/>
                    </a:xfrm>
                    <a:prstGeom prst="rect">
                      <a:avLst/>
                    </a:prstGeom>
                    <a:noFill/>
                  </pic:spPr>
                </pic:pic>
              </a:graphicData>
            </a:graphic>
          </wp:anchor>
        </w:drawing>
        <w:t>Additional Registration Statement</w:t>
      </w:r>
      <w:r>
        <w:rPr>
          <w:rFonts w:ascii="Times New Roman" w:cs="Times New Roman" w:eastAsia="Times New Roman" w:hAnsi="Times New Roman"/>
          <w:sz w:val="17"/>
          <w:szCs w:val="17"/>
          <w:color w:val="auto"/>
        </w:rPr>
        <w:t>. To the extent that the Registration Statement is not available for the sales of the Shares as contemplated by this Agreement, the Company shall file a new registration statement with respect to any additional shares of Common Stock necessary to complete such sales of the Shares and shall cause such registration statement to become effective as promptly as practicable. After the effectiveness of any such registration statement, all references to “</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included in this Agreement shall be deemed to include such new registration statement, including all documents incorporated by reference therein pursuant to Item 12 of Form S-3, and all references to “</w:t>
      </w:r>
      <w:r>
        <w:rPr>
          <w:rFonts w:ascii="Times New Roman" w:cs="Times New Roman" w:eastAsia="Times New Roman" w:hAnsi="Times New Roman"/>
          <w:sz w:val="17"/>
          <w:szCs w:val="17"/>
          <w:u w:val="single" w:color="auto"/>
          <w:color w:val="auto"/>
        </w:rPr>
        <w:t>Base Prospectus</w:t>
      </w:r>
      <w:r>
        <w:rPr>
          <w:rFonts w:ascii="Times New Roman" w:cs="Times New Roman" w:eastAsia="Times New Roman" w:hAnsi="Times New Roman"/>
          <w:sz w:val="17"/>
          <w:szCs w:val="17"/>
          <w:color w:val="auto"/>
        </w:rPr>
        <w:t>” included in this Agreement shall be deemed to include the final form of base prospectus, including all documents incorporated therein by reference, included in any such registration statement at the time such registration statement became effective.</w:t>
      </w:r>
    </w:p>
    <w:p>
      <w:pPr>
        <w:spacing w:after="0" w:line="176" w:lineRule="exact"/>
        <w:rPr>
          <w:rFonts w:ascii="Times New Roman" w:cs="Times New Roman" w:eastAsia="Times New Roman" w:hAnsi="Times New Roman"/>
          <w:sz w:val="17"/>
          <w:szCs w:val="17"/>
          <w:color w:val="auto"/>
        </w:rPr>
      </w:pPr>
    </w:p>
    <w:p>
      <w:pPr>
        <w:ind w:left="-20" w:right="20" w:firstLine="424"/>
        <w:spacing w:after="0" w:line="251" w:lineRule="auto"/>
        <w:tabs>
          <w:tab w:leader="none" w:pos="565"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of Expenses</w:t>
      </w:r>
      <w:r>
        <w:rPr>
          <w:rFonts w:ascii="Times New Roman" w:cs="Times New Roman" w:eastAsia="Times New Roman" w:hAnsi="Times New Roman"/>
          <w:sz w:val="17"/>
          <w:szCs w:val="17"/>
          <w:color w:val="auto"/>
        </w:rPr>
        <w:t>. The Company agrees to pay the costs and expenses incident to the performance of its obligations under this Agreement, whether or not the transactions contemplated hereby are consummated, including without limitation: (i) the preparation, printing or reproduction and filing with the Commission of the Registration Statement (including financial statements and exhibits thereto), the Prospectus and each Issuer Free Writing Prospectus, and each amendment or supplement to any of them; (ii) the printing (or reproduction) and delivery (including postage, air freight charges and charges for counting and packaging) of such copies of the Registration Statement, the Prospectus, and each Issuer Free Writing Prospectus, and all amendments or supplements to any of them, as may, in each case, be reasonably requested for use in connection with the offering and sale of the Shares; (iii) the preparation, printing, authentication, issuance and delivery of certificates for the Shares, including any stamp or transfer taxes in connection with the original issuance and sale of the Shares; (iv) the printing (or reproduction) and delivery of this Agreement, any blue sky memorandum and all other agreements or documents printed (or reproduced) and delivered in connection with the offering of the Shares; (v) the registration of the Shares under the Exchange Act, if applicable, and the listing of the Shares on the Trading Market; (vi) any registration or qualification of the Shares for offer and sale under the securities or blue sky laws of the several states (including filing fees and the reasonable fees and expenses of counsel for the Manager relating to such registration and qualification); (vii) the transportation and other expenses incurred by or on behalf of Company representatives in connection with presentations to prospective purchasers of the Shares; (viii) the fees and expenses of the Company’s accountants and the fees and expenses of counsel (including local and special counsel) for the Company; (ix) the filing fee under FINRA Rule 5110; (x) the reasonable fees and expenses of the Manager’s counsel, not to exceed $100,000 (excluding any periodic due diligence fees provided for under Section 4(n)), $50,000 of which shall be paid at the Execution Time and $50,000 of which shall be paid on the date of the first sale of Shares hereunder; and (xi) all other costs and expenses incident to the performance by the Company of its obligations hereunder.</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ectPr>
          <w:pgSz w:w="11900" w:h="16838" w:orient="portrait"/>
          <w:cols w:equalWidth="0" w:num="1">
            <w:col w:w="10380"/>
          </w:cols>
          <w:pgMar w:left="760" w:top="263" w:right="759" w:bottom="1440" w:gutter="0" w:footer="0" w:header="0"/>
        </w:sectPr>
      </w:pPr>
    </w:p>
    <w:bookmarkStart w:id="103" w:name="page104"/>
    <w:bookmarkEnd w:id="103"/>
    <w:p>
      <w:pPr>
        <w:ind w:left="-8" w:firstLine="424"/>
        <w:spacing w:after="0" w:line="272" w:lineRule="auto"/>
        <w:tabs>
          <w:tab w:leader="none" w:pos="577" w:val="left"/>
        </w:tabs>
        <w:numPr>
          <w:ilvl w:val="1"/>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7">
                      <a:extLst>
                        <a:ext uri="{28A0092B-C50C-407E-A947-70E740481C1C}"/>
                      </a:extLst>
                    </a:blip>
                    <a:srcRect/>
                    <a:stretch>
                      <a:fillRect/>
                    </a:stretch>
                  </pic:blipFill>
                  <pic:spPr bwMode="auto">
                    <a:xfrm>
                      <a:off x="0" y="0"/>
                      <a:ext cx="7181850" cy="36830"/>
                    </a:xfrm>
                    <a:prstGeom prst="rect">
                      <a:avLst/>
                    </a:prstGeom>
                    <a:noFill/>
                  </pic:spPr>
                </pic:pic>
              </a:graphicData>
            </a:graphic>
          </wp:anchor>
        </w:drawing>
        <w:t>Conditions to the Obligations of the Manager</w:t>
      </w:r>
      <w:r>
        <w:rPr>
          <w:rFonts w:ascii="Times New Roman" w:cs="Times New Roman" w:eastAsia="Times New Roman" w:hAnsi="Times New Roman"/>
          <w:sz w:val="16"/>
          <w:szCs w:val="16"/>
          <w:color w:val="auto"/>
        </w:rPr>
        <w:t>. The obligations of the Manager under this Agreement and any Terms Agreement shall be subject to (i) the accuracy of the representations and warranties on the part of the Company contained herein as of the Execution Time, each Representation Date, and as of each Applicable Time, Settlement Date and Time of Delivery, (ii) the performance by the Company of its obligations hereunder and</w:t>
      </w:r>
    </w:p>
    <w:p>
      <w:pPr>
        <w:spacing w:after="0" w:line="1" w:lineRule="exact"/>
        <w:rPr>
          <w:rFonts w:ascii="Times New Roman" w:cs="Times New Roman" w:eastAsia="Times New Roman" w:hAnsi="Times New Roman"/>
          <w:sz w:val="16"/>
          <w:szCs w:val="16"/>
          <w:color w:val="auto"/>
        </w:rPr>
      </w:pPr>
    </w:p>
    <w:p>
      <w:pPr>
        <w:ind w:left="292" w:hanging="292"/>
        <w:spacing w:after="0"/>
        <w:tabs>
          <w:tab w:leader="none" w:pos="292"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additional conditions:</w:t>
      </w:r>
    </w:p>
    <w:p>
      <w:pPr>
        <w:spacing w:after="0" w:line="94" w:lineRule="exact"/>
        <w:rPr>
          <w:rFonts w:ascii="Times New Roman" w:cs="Times New Roman" w:eastAsia="Times New Roman" w:hAnsi="Times New Roman"/>
          <w:sz w:val="17"/>
          <w:szCs w:val="17"/>
          <w:color w:val="auto"/>
        </w:rPr>
      </w:pPr>
    </w:p>
    <w:p>
      <w:pPr>
        <w:ind w:left="412" w:firstLine="403"/>
        <w:spacing w:after="0" w:line="255" w:lineRule="auto"/>
        <w:tabs>
          <w:tab w:leader="none" w:pos="1041" w:val="left"/>
        </w:tabs>
        <w:numPr>
          <w:ilvl w:val="2"/>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Effectiveness of the Registration Statement; Filing of Prospectus Supplement</w:t>
      </w:r>
      <w:r>
        <w:rPr>
          <w:rFonts w:ascii="Times New Roman" w:cs="Times New Roman" w:eastAsia="Times New Roman" w:hAnsi="Times New Roman"/>
          <w:sz w:val="17"/>
          <w:szCs w:val="17"/>
          <w:color w:val="auto"/>
        </w:rPr>
        <w:t>. The Registration Statement shall have been declared effective by the Commission and the Prospectus, and any Prospectus Supplement thereto required by Rule 424 to be filed with the Commission within the time period required by Rule 424(b) shall have been filed with respect to any sale of Shares; any other material required to be filed by the Company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shall have been instituted or threatened.</w:t>
      </w:r>
    </w:p>
    <w:p>
      <w:pPr>
        <w:spacing w:after="0" w:line="78" w:lineRule="exact"/>
        <w:rPr>
          <w:rFonts w:ascii="Times New Roman" w:cs="Times New Roman" w:eastAsia="Times New Roman" w:hAnsi="Times New Roman"/>
          <w:sz w:val="17"/>
          <w:szCs w:val="17"/>
          <w:color w:val="auto"/>
        </w:rPr>
      </w:pPr>
    </w:p>
    <w:p>
      <w:pPr>
        <w:ind w:left="412" w:right="640" w:firstLine="403"/>
        <w:spacing w:after="0" w:line="279" w:lineRule="auto"/>
        <w:tabs>
          <w:tab w:leader="none" w:pos="1051" w:val="left"/>
        </w:tabs>
        <w:numPr>
          <w:ilvl w:val="2"/>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Opinion</w:t>
      </w:r>
      <w:r>
        <w:rPr>
          <w:rFonts w:ascii="Times New Roman" w:cs="Times New Roman" w:eastAsia="Times New Roman" w:hAnsi="Times New Roman"/>
          <w:sz w:val="17"/>
          <w:szCs w:val="17"/>
          <w:color w:val="auto"/>
        </w:rPr>
        <w:t>. The Company shall have caused the Company Counsel to furnish to the Manager its opinion and negative assurance statement, dated as of such date and addressed to the Manager in form and substance acceptable to the Manager.</w:t>
      </w:r>
    </w:p>
    <w:p>
      <w:pPr>
        <w:spacing w:after="0" w:line="54" w:lineRule="exact"/>
        <w:rPr>
          <w:rFonts w:ascii="Times New Roman" w:cs="Times New Roman" w:eastAsia="Times New Roman" w:hAnsi="Times New Roman"/>
          <w:sz w:val="17"/>
          <w:szCs w:val="17"/>
          <w:color w:val="auto"/>
        </w:rPr>
      </w:pPr>
    </w:p>
    <w:p>
      <w:pPr>
        <w:ind w:left="412" w:right="280" w:firstLine="403"/>
        <w:spacing w:after="0" w:line="259" w:lineRule="auto"/>
        <w:tabs>
          <w:tab w:leader="none" w:pos="1041" w:val="left"/>
        </w:tabs>
        <w:numPr>
          <w:ilvl w:val="2"/>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Officer’s Certificate</w:t>
      </w:r>
      <w:r>
        <w:rPr>
          <w:rFonts w:ascii="Times New Roman" w:cs="Times New Roman" w:eastAsia="Times New Roman" w:hAnsi="Times New Roman"/>
          <w:sz w:val="17"/>
          <w:szCs w:val="17"/>
          <w:color w:val="auto"/>
        </w:rPr>
        <w:t>. The Company shall have furnished or caused to be furnished to the Manager a certificate of the Company signed by the Chief Executive Officer or the Chief Financial Officer, dated as of such date, to the effect that the signer of such certificate has carefully examined the Registration Statement, the Prospectus, any Prospectus Supplement and any documents incorporated by reference therein and any supplements or amendments thereto and this Agreement and that:</w:t>
      </w:r>
    </w:p>
    <w:p>
      <w:pPr>
        <w:spacing w:after="0" w:line="73" w:lineRule="exact"/>
        <w:rPr>
          <w:rFonts w:ascii="Times New Roman" w:cs="Times New Roman" w:eastAsia="Times New Roman" w:hAnsi="Times New Roman"/>
          <w:sz w:val="17"/>
          <w:szCs w:val="17"/>
          <w:color w:val="auto"/>
        </w:rPr>
      </w:pPr>
    </w:p>
    <w:p>
      <w:pPr>
        <w:ind w:left="932" w:right="220" w:firstLine="382"/>
        <w:spacing w:after="0" w:line="264" w:lineRule="auto"/>
        <w:tabs>
          <w:tab w:leader="none" w:pos="1512" w:val="left"/>
        </w:tabs>
        <w:numPr>
          <w:ilvl w:val="3"/>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representations and warranties of the Company in this Agreement are true and correct on and as of such date with the same effect as if made on such date and the Company has complied with all the agreements and satisfied all the conditions on its part to be performed or satisfied at or prior to such date;</w:t>
      </w:r>
    </w:p>
    <w:p>
      <w:pPr>
        <w:spacing w:after="0" w:line="68" w:lineRule="exact"/>
        <w:rPr>
          <w:rFonts w:ascii="Times New Roman" w:cs="Times New Roman" w:eastAsia="Times New Roman" w:hAnsi="Times New Roman"/>
          <w:sz w:val="17"/>
          <w:szCs w:val="17"/>
          <w:color w:val="auto"/>
        </w:rPr>
      </w:pPr>
    </w:p>
    <w:p>
      <w:pPr>
        <w:ind w:left="932" w:right="20" w:firstLine="382"/>
        <w:spacing w:after="0" w:line="279" w:lineRule="auto"/>
        <w:tabs>
          <w:tab w:leader="none" w:pos="1559" w:val="left"/>
        </w:tabs>
        <w:numPr>
          <w:ilvl w:val="3"/>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stop order suspending the effectiveness of the Registration Statement or any notice objecting to its use has been issued and no proceedings for that purpose have been instituted or, to the Company’s knowledge, threatened; and</w:t>
      </w:r>
    </w:p>
    <w:p>
      <w:pPr>
        <w:spacing w:after="0" w:line="93"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7"/>
          <w:szCs w:val="17"/>
          <w:color w:val="auto"/>
        </w:rPr>
        <w:t>34</w:t>
      </w:r>
    </w:p>
    <w:p>
      <w:pPr>
        <w:sectPr>
          <w:pgSz w:w="11900" w:h="16838" w:orient="portrait"/>
          <w:cols w:equalWidth="0" w:num="1">
            <w:col w:w="10332"/>
          </w:cols>
          <w:pgMar w:left="748" w:top="263" w:right="819" w:bottom="1440" w:gutter="0" w:footer="0" w:header="0"/>
        </w:sectPr>
      </w:pPr>
    </w:p>
    <w:bookmarkStart w:id="104" w:name="page105"/>
    <w:bookmarkEnd w:id="104"/>
    <w:p>
      <w:pPr>
        <w:ind w:left="520" w:right="20" w:firstLine="382"/>
        <w:spacing w:after="0" w:line="259" w:lineRule="auto"/>
        <w:tabs>
          <w:tab w:leader="none" w:pos="1195"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8">
                      <a:extLst>
                        <a:ext uri="{28A0092B-C50C-407E-A947-70E740481C1C}"/>
                      </a:extLst>
                    </a:blip>
                    <a:srcRect/>
                    <a:stretch>
                      <a:fillRect/>
                    </a:stretch>
                  </pic:blipFill>
                  <pic:spPr bwMode="auto">
                    <a:xfrm>
                      <a:off x="0" y="0"/>
                      <a:ext cx="7181850" cy="36830"/>
                    </a:xfrm>
                    <a:prstGeom prst="rect">
                      <a:avLst/>
                    </a:prstGeom>
                    <a:noFill/>
                  </pic:spPr>
                </pic:pic>
              </a:graphicData>
            </a:graphic>
          </wp:anchor>
        </w:drawing>
        <w:t>since the date of the most recent financial statements included in the Registration Statement, the Prospectus and the Incorporated Documents, there has been no Material Adverse Effect on the condition (financial or otherwise), earnings, business or properties of the Company and its subsidiaries, taken as a whole, whether or not arising from transactions in the ordinary course of business, except as set forth in or contemplated in the Registration Statement and the Prospectus.</w:t>
      </w:r>
    </w:p>
    <w:p>
      <w:pPr>
        <w:spacing w:after="0" w:line="73" w:lineRule="exact"/>
        <w:rPr>
          <w:rFonts w:ascii="Times New Roman" w:cs="Times New Roman" w:eastAsia="Times New Roman" w:hAnsi="Times New Roman"/>
          <w:sz w:val="17"/>
          <w:szCs w:val="17"/>
          <w:color w:val="auto"/>
        </w:rPr>
      </w:pPr>
    </w:p>
    <w:p>
      <w:pPr>
        <w:ind w:right="80" w:firstLine="403"/>
        <w:spacing w:after="0" w:line="274" w:lineRule="auto"/>
        <w:tabs>
          <w:tab w:leader="none" w:pos="639"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Delivery of Accountants’ “Comfort” Letter</w:t>
      </w:r>
      <w:r>
        <w:rPr>
          <w:rFonts w:ascii="Times New Roman" w:cs="Times New Roman" w:eastAsia="Times New Roman" w:hAnsi="Times New Roman"/>
          <w:sz w:val="16"/>
          <w:szCs w:val="16"/>
          <w:color w:val="auto"/>
        </w:rPr>
        <w:t>. The Company shall have requested and caused the Accountants to have furnished to the Manager letters (which may refer to letters previously delivered to the Manager), dated as of such date, in form and substance satisfactory to the Manager, confirming that they are independent accountants within the meaning of the Act and the Exchange Act and the respective applicable rules and regulations adopted by the Commission thereunder and that they have performed an audit of any annual financial information of the Company, and/or a review of any unaudited interim financial information of the Company included or incorporated by reference in the Registration Statement and the Prospectus and provide customary “comfort” as to such review in form and substance satisfactory to the Manager.</w:t>
      </w:r>
    </w:p>
    <w:p>
      <w:pPr>
        <w:spacing w:after="0" w:line="64" w:lineRule="exact"/>
        <w:rPr>
          <w:rFonts w:ascii="Times New Roman" w:cs="Times New Roman" w:eastAsia="Times New Roman" w:hAnsi="Times New Roman"/>
          <w:sz w:val="16"/>
          <w:szCs w:val="16"/>
          <w:color w:val="auto"/>
        </w:rPr>
      </w:pPr>
    </w:p>
    <w:p>
      <w:pPr>
        <w:ind w:right="40" w:firstLine="403"/>
        <w:spacing w:after="0" w:line="253" w:lineRule="auto"/>
        <w:tabs>
          <w:tab w:leader="none" w:pos="629"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Material Adverse Event</w:t>
      </w:r>
      <w:r>
        <w:rPr>
          <w:rFonts w:ascii="Times New Roman" w:cs="Times New Roman" w:eastAsia="Times New Roman" w:hAnsi="Times New Roman"/>
          <w:sz w:val="17"/>
          <w:szCs w:val="17"/>
          <w:color w:val="auto"/>
        </w:rPr>
        <w:t>. Since the respective dates as of which information is disclosed in the Registration Statement, the Prospectus and the Incorporated Documents, except as otherwise stated therein, there shall not have been (i) any change or decrease in previously reported results specified in the letter or letters referred to in paragraph (d) of this Section 6 or (ii) any change, or any development involving a prospective change, in or affecting the condition (financial or otherwise), earnings, business or properties of the Company and its subsidiaries taken as a whole, whether or not arising from transactions in the ordinary course of business, except as set forth in or contemplated in the Registration Statement, the Prospectus and the Incorporated Documents (exclusive of any amendment or supplement thereto) the effect of which, in any case referred to in clause (i) or (ii) above, is, in the sole judgment of the Manager, so material and adverse as to make it impractical or inadvisable to proceed with the offering or delivery of the Shares as contemplated by the Registration Statement (exclusive of any amendment thereof), the Incorporated Documents and the Prospectus (exclusive of any amendment or supplement thereto).</w:t>
      </w:r>
    </w:p>
    <w:p>
      <w:pPr>
        <w:spacing w:after="0" w:line="80" w:lineRule="exact"/>
        <w:rPr>
          <w:rFonts w:ascii="Times New Roman" w:cs="Times New Roman" w:eastAsia="Times New Roman" w:hAnsi="Times New Roman"/>
          <w:sz w:val="17"/>
          <w:szCs w:val="17"/>
          <w:color w:val="auto"/>
        </w:rPr>
      </w:pPr>
    </w:p>
    <w:p>
      <w:pPr>
        <w:ind w:firstLine="403"/>
        <w:spacing w:after="0" w:line="259" w:lineRule="auto"/>
        <w:tabs>
          <w:tab w:leader="none" w:pos="611"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of All Fees</w:t>
      </w:r>
      <w:r>
        <w:rPr>
          <w:rFonts w:ascii="Times New Roman" w:cs="Times New Roman" w:eastAsia="Times New Roman" w:hAnsi="Times New Roman"/>
          <w:sz w:val="17"/>
          <w:szCs w:val="17"/>
          <w:color w:val="auto"/>
        </w:rPr>
        <w:t>. The Company shall have paid the required Commission filing fees relating to the Shares within the time period required by Rule 456(b)(1)(i) of the Act without regard to the proviso therein and otherwise in accordance with Rules 456(b) and 457(r) of the Act and, if applicable, shall have updated the “Calculation of Registration Fee” table in accordance with Rule 456(b)(1)(ii) either in a post-effective amendment to the Registration Statement or on the cover page of a prospectus filed pursuant to Rule 424(b).</w:t>
      </w:r>
    </w:p>
    <w:p>
      <w:pPr>
        <w:spacing w:after="0" w:line="73" w:lineRule="exact"/>
        <w:rPr>
          <w:rFonts w:ascii="Times New Roman" w:cs="Times New Roman" w:eastAsia="Times New Roman" w:hAnsi="Times New Roman"/>
          <w:sz w:val="17"/>
          <w:szCs w:val="17"/>
          <w:color w:val="auto"/>
        </w:rPr>
      </w:pPr>
    </w:p>
    <w:p>
      <w:pPr>
        <w:ind w:right="440" w:firstLine="403"/>
        <w:spacing w:after="0" w:line="279" w:lineRule="auto"/>
        <w:tabs>
          <w:tab w:leader="none" w:pos="639"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FINRA Objections</w:t>
      </w:r>
      <w:r>
        <w:rPr>
          <w:rFonts w:ascii="Times New Roman" w:cs="Times New Roman" w:eastAsia="Times New Roman" w:hAnsi="Times New Roman"/>
          <w:sz w:val="17"/>
          <w:szCs w:val="17"/>
          <w:color w:val="auto"/>
        </w:rPr>
        <w:t>. FINRA shall not have raised any objection with respect to the fairness and reasonableness of the terms and arrangements under this Agreement.</w:t>
      </w:r>
    </w:p>
    <w:p>
      <w:pPr>
        <w:spacing w:after="0" w:line="9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35</w:t>
      </w:r>
    </w:p>
    <w:p>
      <w:pPr>
        <w:sectPr>
          <w:pgSz w:w="11900" w:h="16838" w:orient="portrait"/>
          <w:cols w:equalWidth="0" w:num="1">
            <w:col w:w="9960"/>
          </w:cols>
          <w:pgMar w:left="1160" w:top="263" w:right="779" w:bottom="1440" w:gutter="0" w:footer="0" w:header="0"/>
        </w:sectPr>
      </w:pPr>
    </w:p>
    <w:bookmarkStart w:id="105" w:name="page106"/>
    <w:bookmarkEnd w:id="105"/>
    <w:p>
      <w:pPr>
        <w:ind w:left="420" w:right="120" w:firstLine="403"/>
        <w:spacing w:after="0" w:line="279" w:lineRule="auto"/>
        <w:tabs>
          <w:tab w:leader="none" w:pos="1059"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9">
                      <a:extLst>
                        <a:ext uri="{28A0092B-C50C-407E-A947-70E740481C1C}"/>
                      </a:extLst>
                    </a:blip>
                    <a:srcRect/>
                    <a:stretch>
                      <a:fillRect/>
                    </a:stretch>
                  </pic:blipFill>
                  <pic:spPr bwMode="auto">
                    <a:xfrm>
                      <a:off x="0" y="0"/>
                      <a:ext cx="7181850" cy="36830"/>
                    </a:xfrm>
                    <a:prstGeom prst="rect">
                      <a:avLst/>
                    </a:prstGeom>
                    <a:noFill/>
                  </pic:spPr>
                </pic:pic>
              </a:graphicData>
            </a:graphic>
          </wp:anchor>
        </w:drawing>
        <w:t>Shares Listed on Trading Market</w:t>
      </w:r>
      <w:r>
        <w:rPr>
          <w:rFonts w:ascii="Times New Roman" w:cs="Times New Roman" w:eastAsia="Times New Roman" w:hAnsi="Times New Roman"/>
          <w:sz w:val="17"/>
          <w:szCs w:val="17"/>
          <w:color w:val="auto"/>
        </w:rPr>
        <w:t>. The Shares shall have been listed and admitted and authorized for trading on the Trading Market, and satisfactory evidence of such actions shall have been provided to the Manager.</w:t>
      </w:r>
    </w:p>
    <w:p>
      <w:pPr>
        <w:spacing w:after="0" w:line="54" w:lineRule="exact"/>
        <w:rPr>
          <w:rFonts w:ascii="Times New Roman" w:cs="Times New Roman" w:eastAsia="Times New Roman" w:hAnsi="Times New Roman"/>
          <w:sz w:val="17"/>
          <w:szCs w:val="17"/>
          <w:color w:val="auto"/>
        </w:rPr>
      </w:pPr>
    </w:p>
    <w:p>
      <w:pPr>
        <w:ind w:left="420" w:right="160" w:firstLine="403"/>
        <w:spacing w:after="0" w:line="279" w:lineRule="auto"/>
        <w:tabs>
          <w:tab w:leader="none" w:pos="1021"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Assurances</w:t>
      </w:r>
      <w:r>
        <w:rPr>
          <w:rFonts w:ascii="Times New Roman" w:cs="Times New Roman" w:eastAsia="Times New Roman" w:hAnsi="Times New Roman"/>
          <w:sz w:val="17"/>
          <w:szCs w:val="17"/>
          <w:color w:val="auto"/>
        </w:rPr>
        <w:t>. Prior to each Settlement Date and Time of Delivery, as applicable, the Company shall have furnished to the Manager such further information, certificates and documents as the Manager may reasonably request.</w:t>
      </w:r>
    </w:p>
    <w:p>
      <w:pPr>
        <w:spacing w:after="0" w:line="157" w:lineRule="exact"/>
        <w:rPr>
          <w:sz w:val="20"/>
          <w:szCs w:val="20"/>
          <w:color w:val="auto"/>
        </w:rPr>
      </w:pPr>
    </w:p>
    <w:p>
      <w:pPr>
        <w:ind w:right="100" w:firstLine="416"/>
        <w:spacing w:after="0" w:line="257" w:lineRule="auto"/>
        <w:rPr>
          <w:sz w:val="20"/>
          <w:szCs w:val="20"/>
          <w:color w:val="auto"/>
        </w:rPr>
      </w:pPr>
      <w:r>
        <w:rPr>
          <w:rFonts w:ascii="Times New Roman" w:cs="Times New Roman" w:eastAsia="Times New Roman" w:hAnsi="Times New Roman"/>
          <w:sz w:val="17"/>
          <w:szCs w:val="17"/>
          <w:color w:val="auto"/>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Manager and counsel for the Manager, this Agreement and all obligations of the Manager hereunder may be canceled at, or at any time prior to, any Settlement Date or Time of Delivery, as applicable, by the Manager. Notice of such cancellation shall be given to the Company in writing or by telephone and confirmed in writing by email.</w:t>
      </w:r>
    </w:p>
    <w:p>
      <w:pPr>
        <w:spacing w:after="0" w:line="176" w:lineRule="exact"/>
        <w:rPr>
          <w:sz w:val="20"/>
          <w:szCs w:val="20"/>
          <w:color w:val="auto"/>
        </w:rPr>
      </w:pPr>
    </w:p>
    <w:p>
      <w:pPr>
        <w:ind w:right="160" w:firstLine="416"/>
        <w:spacing w:after="0" w:line="264" w:lineRule="auto"/>
        <w:rPr>
          <w:sz w:val="20"/>
          <w:szCs w:val="20"/>
          <w:color w:val="auto"/>
        </w:rPr>
      </w:pPr>
      <w:r>
        <w:rPr>
          <w:rFonts w:ascii="Times New Roman" w:cs="Times New Roman" w:eastAsia="Times New Roman" w:hAnsi="Times New Roman"/>
          <w:sz w:val="17"/>
          <w:szCs w:val="17"/>
          <w:color w:val="auto"/>
        </w:rPr>
        <w:t>The documents required to be delivered by this Section 6 shall be delivered to the office of Troutman Pepper Hamilton Sanders LLP, counsel for the Manager, at 301 S. College Street, Suite 3400, Charlotte, North Carolina 28202, email: [****]; [****], on each such date as provided in this Agreement.</w:t>
      </w:r>
    </w:p>
    <w:p>
      <w:pPr>
        <w:spacing w:after="0" w:line="170" w:lineRule="exact"/>
        <w:rPr>
          <w:sz w:val="20"/>
          <w:szCs w:val="20"/>
          <w:color w:val="auto"/>
        </w:rPr>
      </w:pPr>
    </w:p>
    <w:p>
      <w:pPr>
        <w:ind w:left="600" w:hanging="176"/>
        <w:spacing w:after="0"/>
        <w:tabs>
          <w:tab w:leader="none" w:pos="60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Indemnification and Contribution</w:t>
      </w:r>
      <w:r>
        <w:rPr>
          <w:rFonts w:ascii="Times New Roman" w:cs="Times New Roman" w:eastAsia="Times New Roman" w:hAnsi="Times New Roman"/>
          <w:sz w:val="17"/>
          <w:szCs w:val="17"/>
          <w:color w:val="auto"/>
        </w:rPr>
        <w:t>.</w:t>
      </w:r>
    </w:p>
    <w:p>
      <w:pPr>
        <w:spacing w:after="0" w:line="110" w:lineRule="exact"/>
        <w:rPr>
          <w:rFonts w:ascii="Times New Roman" w:cs="Times New Roman" w:eastAsia="Times New Roman" w:hAnsi="Times New Roman"/>
          <w:sz w:val="17"/>
          <w:szCs w:val="17"/>
          <w:color w:val="auto"/>
        </w:rPr>
      </w:pPr>
    </w:p>
    <w:p>
      <w:pPr>
        <w:ind w:left="420" w:firstLine="403"/>
        <w:spacing w:after="0" w:line="252" w:lineRule="auto"/>
        <w:tabs>
          <w:tab w:leader="none" w:pos="1049" w:val="left"/>
        </w:tabs>
        <w:numPr>
          <w:ilvl w:val="1"/>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Indemnification by Company</w:t>
      </w:r>
      <w:r>
        <w:rPr>
          <w:rFonts w:ascii="Times New Roman" w:cs="Times New Roman" w:eastAsia="Times New Roman" w:hAnsi="Times New Roman"/>
          <w:sz w:val="17"/>
          <w:szCs w:val="17"/>
          <w:color w:val="auto"/>
        </w:rPr>
        <w:t xml:space="preserve">. The Company agrees to indemnify and hold harmless the Manager, the directors, officers, employees and agents of the Manager and each person who controls the Manager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for the registration of the Shares as originally filed or in any amendment thereof, or in the Base Prospectus, the ATM Prospectus, any Prospectus Supplement, the Prospectus, any Issuer Free Writing Prospectus, or in any amendment thereof or supplement thereto, or arise out of or are based upon the omission or alleged omission to state therein a material fact required to be stated therein or necessary to make the statements therein not misleading or arise out of or are based upon any Proceeding, commenced or threatened (whether or not the Manager is a target of or party to such Proceeding) or result from or relate to any breach of any of the representations, warranties, covenants or agreements made by the Company in this Agreement, and agrees to reimburse each such indemnified party for any legal or other expenses reasonably incurred by them in connection with investigating or defending any such loss, claim, damage, liability or action;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Company will not be liable in any such case to the extent that any such loss,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ectPr>
          <w:pgSz w:w="11900" w:h="16838" w:orient="portrait"/>
          <w:cols w:equalWidth="0" w:num="1">
            <w:col w:w="10400"/>
          </w:cols>
          <w:pgMar w:left="740" w:top="263" w:right="759" w:bottom="1440" w:gutter="0" w:footer="0" w:header="0"/>
        </w:sectPr>
      </w:pPr>
    </w:p>
    <w:bookmarkStart w:id="106" w:name="page107"/>
    <w:bookmarkEnd w:id="106"/>
    <w:p>
      <w:pPr>
        <w:jc w:val="both"/>
        <w:ind w:right="280"/>
        <w:spacing w:after="0" w:line="26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0">
                      <a:extLst>
                        <a:ext uri="{28A0092B-C50C-407E-A947-70E740481C1C}"/>
                      </a:extLst>
                    </a:blip>
                    <a:srcRect/>
                    <a:stretch>
                      <a:fillRect/>
                    </a:stretch>
                  </pic:blipFill>
                  <pic:spPr bwMode="auto">
                    <a:xfrm>
                      <a:off x="0" y="0"/>
                      <a:ext cx="7181850" cy="36830"/>
                    </a:xfrm>
                    <a:prstGeom prst="rect">
                      <a:avLst/>
                    </a:prstGeom>
                    <a:noFill/>
                  </pic:spPr>
                </pic:pic>
              </a:graphicData>
            </a:graphic>
          </wp:anchor>
        </w:drawing>
        <w:t>claim, damage or liability arises out of or is based upon any such untrue statement or alleged untrue statement or omission or alleged omission made therein in reliance upon and in conformity with written information furnished to the Company by the Manager specifically for inclusion therein. This indemnity agreement will be in addition to any liability that the Company may otherwise have.</w:t>
      </w:r>
    </w:p>
    <w:p>
      <w:pPr>
        <w:spacing w:after="0" w:line="68" w:lineRule="exact"/>
        <w:rPr>
          <w:sz w:val="20"/>
          <w:szCs w:val="20"/>
          <w:color w:val="auto"/>
        </w:rPr>
      </w:pPr>
    </w:p>
    <w:p>
      <w:pPr>
        <w:ind w:right="20" w:firstLine="403"/>
        <w:spacing w:after="0" w:line="255" w:lineRule="auto"/>
        <w:tabs>
          <w:tab w:leader="none" w:pos="639"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Indemnification by Manager</w:t>
      </w:r>
      <w:r>
        <w:rPr>
          <w:rFonts w:ascii="Times New Roman" w:cs="Times New Roman" w:eastAsia="Times New Roman" w:hAnsi="Times New Roman"/>
          <w:sz w:val="17"/>
          <w:szCs w:val="17"/>
          <w:color w:val="auto"/>
        </w:rPr>
        <w:t xml:space="preserve">. The Manager agrees to indemnify and hold harmless the Company, each of its directors, each of its officers who signs the Registration Statement, and each person who controls the Company within the meaning of either the Act or the Exchange Act, to the same extent as the foregoing indemnity from the Company to the Manager, but only with reference to written information relating to the Manager furnished to the Company by the Manager specifically for inclusion in the documents referred to in the foregoing indemnity;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no case shall the Manager be responsible for any amount in excess of the Broker Fee applicable to the Shares and paid hereunder. This indemnity agreement will be in addition to any liability which the Manager may otherwise have.</w:t>
      </w:r>
    </w:p>
    <w:p>
      <w:pPr>
        <w:spacing w:after="0" w:line="78" w:lineRule="exact"/>
        <w:rPr>
          <w:rFonts w:ascii="Times New Roman" w:cs="Times New Roman" w:eastAsia="Times New Roman" w:hAnsi="Times New Roman"/>
          <w:sz w:val="17"/>
          <w:szCs w:val="17"/>
          <w:color w:val="auto"/>
        </w:rPr>
      </w:pPr>
    </w:p>
    <w:p>
      <w:pPr>
        <w:ind w:firstLine="403"/>
        <w:spacing w:after="0" w:line="252" w:lineRule="auto"/>
        <w:tabs>
          <w:tab w:leader="none" w:pos="629"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Indemnification Procedures</w:t>
      </w:r>
      <w:r>
        <w:rPr>
          <w:rFonts w:ascii="Times New Roman" w:cs="Times New Roman" w:eastAsia="Times New Roman" w:hAnsi="Times New Roman"/>
          <w:sz w:val="17"/>
          <w:szCs w:val="17"/>
          <w:color w:val="auto"/>
        </w:rPr>
        <w:t xml:space="preserve">. Promptly after receipt by an indemnified party under this Section 7 of notice of the commencement of any action, such indemnified party will, if a claim in respect thereof is to be made against the indemnifying party under this Section 7,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reasonably satisfactory to the indemnified party</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37</w:t>
      </w:r>
    </w:p>
    <w:p>
      <w:pPr>
        <w:sectPr>
          <w:pgSz w:w="11900" w:h="16838" w:orient="portrait"/>
          <w:cols w:equalWidth="0" w:num="1">
            <w:col w:w="9960"/>
          </w:cols>
          <w:pgMar w:left="1160" w:top="263" w:right="779" w:bottom="1440" w:gutter="0" w:footer="0" w:header="0"/>
        </w:sectPr>
      </w:pPr>
    </w:p>
    <w:bookmarkStart w:id="107" w:name="page108"/>
    <w:bookmarkEnd w:id="107"/>
    <w:p>
      <w:pPr>
        <w:ind w:right="100"/>
        <w:spacing w:after="0" w:line="25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1">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w:t>
      </w:r>
    </w:p>
    <w:p>
      <w:pPr>
        <w:spacing w:after="0" w:line="78" w:lineRule="exact"/>
        <w:rPr>
          <w:sz w:val="20"/>
          <w:szCs w:val="20"/>
          <w:color w:val="auto"/>
        </w:rPr>
      </w:pPr>
    </w:p>
    <w:p>
      <w:pPr>
        <w:ind w:firstLine="403"/>
        <w:spacing w:after="0" w:line="251" w:lineRule="auto"/>
        <w:tabs>
          <w:tab w:leader="none" w:pos="639"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Contribution</w:t>
      </w:r>
      <w:r>
        <w:rPr>
          <w:rFonts w:ascii="Times New Roman" w:cs="Times New Roman" w:eastAsia="Times New Roman" w:hAnsi="Times New Roman"/>
          <w:sz w:val="17"/>
          <w:szCs w:val="17"/>
          <w:color w:val="auto"/>
        </w:rPr>
        <w:t>. In the event that the indemnity provided in paragraph (a), (b) or (c) of this Section 7 is unavailable to or insufficient to hold harmless an indemnified party for any reason, the Company and the Manager agree to contribute to the aggregate losses, claims, damages and liabilities (including legal or other expenses reasonably incurred in connection with investigating or defending the same) (collectively “</w:t>
      </w:r>
      <w:r>
        <w:rPr>
          <w:rFonts w:ascii="Times New Roman" w:cs="Times New Roman" w:eastAsia="Times New Roman" w:hAnsi="Times New Roman"/>
          <w:sz w:val="17"/>
          <w:szCs w:val="17"/>
          <w:u w:val="single" w:color="auto"/>
          <w:color w:val="auto"/>
        </w:rPr>
        <w:t>Losses</w:t>
      </w:r>
      <w:r>
        <w:rPr>
          <w:rFonts w:ascii="Times New Roman" w:cs="Times New Roman" w:eastAsia="Times New Roman" w:hAnsi="Times New Roman"/>
          <w:sz w:val="17"/>
          <w:szCs w:val="17"/>
          <w:color w:val="auto"/>
        </w:rPr>
        <w:t xml:space="preserve">”) to which the Company and the Manager may be subject in such proportion as is appropriate to reflect the relative benefits received by the Company on the one hand and by the Manager on the other from the offering of the Shares;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no case shall the Manager be responsible for any amount in excess of the Broker Fee applicable to the Shares and paid hereunder. If the allocation provided by the immediately preceding sentence is unavailable for any reason, the Company and the Manager severally shall contribute in such proportion as is appropriate to reflect not only such relative benefits but also the relative fault of the Company on the one hand and of the Manager on the other in connection with the statements or omissions which resulted in such Losses as well as any other relevant equitable considerations. Benefits received by the Company shall be deemed to be equal to the total net proceeds from the offering (before deducting expenses) received by it, and benefits received by the Manager shall be deemed to be equal to the Broker Fee applicable to the Shares and paid hereunder as determined by this Agreement. Relative fault shall be determined by reference to, among other things, whether any untrue or any alleged untrue statement of a material fact or the omission or alleged omission to state a material fact relates to information provided by the Company on the one hand or the Manager on the other, the intent of the parties and their relative knowledge, access to information and opportunity to correct or prevent such untrue statement or omission. The Company and the Manager agree that it would not be just and equitable if contribution were determined by pro rata allocation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For purposes of this Section 7, each person who controls the Manager within the meaning of either the Act or the Exchange Act and each director, officer, employee and agent of the Manager shall have the same rights to</w:t>
      </w:r>
    </w:p>
    <w:p>
      <w:pPr>
        <w:spacing w:after="0" w:line="12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38</w:t>
      </w:r>
    </w:p>
    <w:p>
      <w:pPr>
        <w:sectPr>
          <w:pgSz w:w="11900" w:h="16838" w:orient="portrait"/>
          <w:cols w:equalWidth="0" w:num="1">
            <w:col w:w="9960"/>
          </w:cols>
          <w:pgMar w:left="1160" w:top="263" w:right="779" w:bottom="1440" w:gutter="0" w:footer="0" w:header="0"/>
        </w:sectPr>
      </w:pPr>
    </w:p>
    <w:bookmarkStart w:id="108" w:name="page109"/>
    <w:bookmarkEnd w:id="108"/>
    <w:p>
      <w:pPr>
        <w:jc w:val="both"/>
        <w:spacing w:after="0" w:line="26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2">
                      <a:extLst>
                        <a:ext uri="{28A0092B-C50C-407E-A947-70E740481C1C}"/>
                      </a:extLst>
                    </a:blip>
                    <a:srcRect/>
                    <a:stretch>
                      <a:fillRect/>
                    </a:stretch>
                  </pic:blipFill>
                  <pic:spPr bwMode="auto">
                    <a:xfrm>
                      <a:off x="0" y="0"/>
                      <a:ext cx="7181850" cy="36830"/>
                    </a:xfrm>
                    <a:prstGeom prst="rect">
                      <a:avLst/>
                    </a:prstGeom>
                    <a:noFill/>
                  </pic:spPr>
                </pic:pic>
              </a:graphicData>
            </a:graphic>
          </wp:anchor>
        </w:drawing>
        <w:t>contribution as the Manager, and each person who controls the Company within the meaning of either the Act or the Exchange Act, each officer of the Company who shall have signed the Registration Statement and each director of the Company shall have the same rights to contribution as the Company, subject in each case to the applicable terms and conditions of this paragraph (d).</w:t>
      </w:r>
    </w:p>
    <w:p>
      <w:pPr>
        <w:spacing w:after="0" w:line="170" w:lineRule="exact"/>
        <w:rPr>
          <w:sz w:val="20"/>
          <w:szCs w:val="20"/>
          <w:color w:val="auto"/>
        </w:rPr>
      </w:pPr>
    </w:p>
    <w:p>
      <w:pPr>
        <w:ind w:left="180" w:hanging="176"/>
        <w:spacing w:after="0"/>
        <w:tabs>
          <w:tab w:leader="none" w:pos="18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w:t>
      </w:r>
    </w:p>
    <w:p>
      <w:pPr>
        <w:spacing w:after="0" w:line="110" w:lineRule="exact"/>
        <w:rPr>
          <w:rFonts w:ascii="Times New Roman" w:cs="Times New Roman" w:eastAsia="Times New Roman" w:hAnsi="Times New Roman"/>
          <w:sz w:val="17"/>
          <w:szCs w:val="17"/>
          <w:color w:val="auto"/>
        </w:rPr>
      </w:pPr>
    </w:p>
    <w:p>
      <w:pPr>
        <w:ind w:right="60" w:firstLine="403"/>
        <w:spacing w:after="0" w:line="255" w:lineRule="auto"/>
        <w:tabs>
          <w:tab w:leader="none" w:pos="630"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the right, by giving written notice as hereinafter specified, to terminate the provisions of this Agreement relating to the solicitation of offers to purchase the Shares in its sole discretion at any time upon five (5) Business Days’ prior written notice. Any such termination shall be without liability of any party to any other party except that (i) with respect to any pending sale, through the Manager for the Company, the obligations of the Company, including in respect of compensation of the Manager, shall remain in full force and effect notwithstanding the termination and (ii) the provisions of Sections 5, 6, 7, 8, 9, 10, 12, 14 and 15 of this Agreement shall remain in full force and effect notwithstanding such termination.</w:t>
      </w:r>
    </w:p>
    <w:p>
      <w:pPr>
        <w:spacing w:after="0" w:line="78" w:lineRule="exact"/>
        <w:rPr>
          <w:rFonts w:ascii="Times New Roman" w:cs="Times New Roman" w:eastAsia="Times New Roman" w:hAnsi="Times New Roman"/>
          <w:sz w:val="17"/>
          <w:szCs w:val="17"/>
          <w:color w:val="auto"/>
        </w:rPr>
      </w:pPr>
    </w:p>
    <w:p>
      <w:pPr>
        <w:ind w:right="20" w:firstLine="403"/>
        <w:spacing w:after="0" w:line="259" w:lineRule="auto"/>
        <w:tabs>
          <w:tab w:leader="none" w:pos="639"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Manager shall have the right, by giving written notice as hereinafter specified, to terminate the provisions of this Agreement relating to the solicitation of offers to purchase the Shares in its sole discretion at any time. Any such termination shall be without liability of any party to any other party except that the provisions of Sections 5, 6, 7, 8, 9, 10, 12, 14 and 15 of this Agreement shall remain in full force and effect notwithstanding such termination.</w:t>
      </w:r>
    </w:p>
    <w:p>
      <w:pPr>
        <w:spacing w:after="0" w:line="73" w:lineRule="exact"/>
        <w:rPr>
          <w:rFonts w:ascii="Times New Roman" w:cs="Times New Roman" w:eastAsia="Times New Roman" w:hAnsi="Times New Roman"/>
          <w:sz w:val="17"/>
          <w:szCs w:val="17"/>
          <w:color w:val="auto"/>
        </w:rPr>
      </w:pPr>
    </w:p>
    <w:p>
      <w:pPr>
        <w:ind w:left="640" w:hanging="237"/>
        <w:spacing w:after="0"/>
        <w:tabs>
          <w:tab w:leader="none" w:pos="640"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shall remain in full force and effect until such date that this Agreement is terminated pursuant to Sections 8(a) or</w:t>
      </w:r>
    </w:p>
    <w:p>
      <w:pPr>
        <w:spacing w:after="0" w:line="24" w:lineRule="exact"/>
        <w:rPr>
          <w:sz w:val="20"/>
          <w:szCs w:val="20"/>
          <w:color w:val="auto"/>
        </w:rPr>
      </w:pPr>
    </w:p>
    <w:p>
      <w:pPr>
        <w:ind w:firstLine="4"/>
        <w:spacing w:after="0" w:line="260" w:lineRule="auto"/>
        <w:tabs>
          <w:tab w:leader="none" w:pos="24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above or otherwise by mutual agreement of the parties, provided that any such termination by mutual agreement shall in all cases be deemed to provide that Sections 5, 6, 7, 8, 9, 10, 12, 14 and 15 of this Agreement shall remain in full force and effect.</w:t>
      </w:r>
    </w:p>
    <w:p>
      <w:pPr>
        <w:spacing w:after="0" w:line="70" w:lineRule="exact"/>
        <w:rPr>
          <w:rFonts w:ascii="Times New Roman" w:cs="Times New Roman" w:eastAsia="Times New Roman" w:hAnsi="Times New Roman"/>
          <w:sz w:val="17"/>
          <w:szCs w:val="17"/>
          <w:color w:val="auto"/>
        </w:rPr>
      </w:pPr>
    </w:p>
    <w:p>
      <w:pPr>
        <w:jc w:val="both"/>
        <w:ind w:right="140" w:firstLine="403"/>
        <w:spacing w:after="0" w:line="259" w:lineRule="auto"/>
        <w:tabs>
          <w:tab w:leader="none" w:pos="639"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termination of this Agreement shall be effective on the date specified in such notice of termination, provided that such termination shall not be effective until the close of business on the date of receipt of such notice by the Manager or the Company, as the case may be. If such termination shall occur prior to the Settlement Date or Time of Delivery for any sale of the Shares, such sale of the Shares shall settle in accordance with the provisions of Section 2(b) of this Agreement.</w:t>
      </w:r>
    </w:p>
    <w:p>
      <w:pPr>
        <w:spacing w:after="0" w:line="73" w:lineRule="exact"/>
        <w:rPr>
          <w:rFonts w:ascii="Times New Roman" w:cs="Times New Roman" w:eastAsia="Times New Roman" w:hAnsi="Times New Roman"/>
          <w:sz w:val="17"/>
          <w:szCs w:val="17"/>
          <w:color w:val="auto"/>
        </w:rPr>
      </w:pPr>
    </w:p>
    <w:p>
      <w:pPr>
        <w:jc w:val="both"/>
        <w:ind w:right="140" w:firstLine="403"/>
        <w:spacing w:after="0" w:line="259" w:lineRule="auto"/>
        <w:tabs>
          <w:tab w:leader="none" w:pos="630"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any purchase of Shares by the Manager pursuant to a Terms Agreement, the obligations of the Manager pursuant to such Terms Agreement shall be subject to termination, in the absolute discretion of the Manager, by prompt oral notice given to the Company prior to the Time of Delivery relating to such Shares, if any, and confirmed promptly by electronic mail, if since the time of execution of the Terms Agreement and prior to such delivery and</w:t>
      </w:r>
    </w:p>
    <w:p>
      <w:pPr>
        <w:spacing w:after="0" w:line="11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39</w:t>
      </w:r>
    </w:p>
    <w:p>
      <w:pPr>
        <w:sectPr>
          <w:pgSz w:w="11900" w:h="16838" w:orient="portrait"/>
          <w:cols w:equalWidth="0" w:num="1">
            <w:col w:w="9960"/>
          </w:cols>
          <w:pgMar w:left="1160" w:top="263" w:right="779" w:bottom="1440" w:gutter="0" w:footer="0" w:header="0"/>
        </w:sectPr>
      </w:pPr>
    </w:p>
    <w:bookmarkStart w:id="109" w:name="page110"/>
    <w:bookmarkEnd w:id="109"/>
    <w:p>
      <w:pPr>
        <w:ind w:left="420"/>
        <w:spacing w:after="0" w:line="25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3">
                      <a:extLst>
                        <a:ext uri="{28A0092B-C50C-407E-A947-70E740481C1C}"/>
                      </a:extLst>
                    </a:blip>
                    <a:srcRect/>
                    <a:stretch>
                      <a:fillRect/>
                    </a:stretch>
                  </pic:blipFill>
                  <pic:spPr bwMode="auto">
                    <a:xfrm>
                      <a:off x="0" y="0"/>
                      <a:ext cx="7181850" cy="36830"/>
                    </a:xfrm>
                    <a:prstGeom prst="rect">
                      <a:avLst/>
                    </a:prstGeom>
                    <a:noFill/>
                  </pic:spPr>
                </pic:pic>
              </a:graphicData>
            </a:graphic>
          </wp:anchor>
        </w:drawing>
        <w:t>payment, (i) trading in the Common Stock shall have been suspended by the Commission or the Trading Market or trading in securities generally on the Trading Market shall have been suspended or limited or minimum prices shall have been established on such exchange, (ii) a banking moratorium shall have been declared either by Federal or New York State authorities or (iii) there shall have occurred any outbreak or escalation of hostilities, declaration by the United States of a national emergency or war, or other calamity or crisis the effect of which on financial markets is such as to make it, in the sole judgment of the Manager, impractical or inadvisable to proceed with the offering or delivery of the Shares as contemplated by the Prospectus (exclusive of any amendment or supplement thereto).</w:t>
      </w:r>
    </w:p>
    <w:p>
      <w:pPr>
        <w:spacing w:after="0" w:line="180" w:lineRule="exact"/>
        <w:rPr>
          <w:sz w:val="20"/>
          <w:szCs w:val="20"/>
          <w:color w:val="auto"/>
        </w:rPr>
      </w:pPr>
    </w:p>
    <w:p>
      <w:pPr>
        <w:ind w:right="200" w:firstLine="424"/>
        <w:spacing w:after="0" w:line="259" w:lineRule="auto"/>
        <w:tabs>
          <w:tab w:leader="none" w:pos="585"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Indemnities to Survive</w:t>
      </w:r>
      <w:r>
        <w:rPr>
          <w:rFonts w:ascii="Times New Roman" w:cs="Times New Roman" w:eastAsia="Times New Roman" w:hAnsi="Times New Roman"/>
          <w:sz w:val="17"/>
          <w:szCs w:val="17"/>
          <w:color w:val="auto"/>
        </w:rPr>
        <w:t>. The respective agreements, representations, warranties, indemnities and other statements of the Company or its officers and of the Manager set forth in or made pursuant to this Agreement will remain in full force and effect, regardless of any investigation made by the Manager or the Company or any of the officers, directors, employees, agents or controlling persons referred to in Section 7, and will survive delivery of and payment for the Shares.</w:t>
      </w:r>
    </w:p>
    <w:p>
      <w:pPr>
        <w:spacing w:after="0" w:line="174" w:lineRule="exact"/>
        <w:rPr>
          <w:rFonts w:ascii="Times New Roman" w:cs="Times New Roman" w:eastAsia="Times New Roman" w:hAnsi="Times New Roman"/>
          <w:sz w:val="17"/>
          <w:szCs w:val="17"/>
          <w:color w:val="auto"/>
        </w:rPr>
      </w:pPr>
    </w:p>
    <w:p>
      <w:pPr>
        <w:ind w:right="480" w:firstLine="424"/>
        <w:spacing w:after="0" w:line="279" w:lineRule="auto"/>
        <w:tabs>
          <w:tab w:leader="none" w:pos="67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communications hereunder will be in writing and effective only on receipt, and will be mailed, delivered, or e-mailed to the addresses of the Company and the Manager, respectively, set forth on the signature page hereto.</w:t>
      </w:r>
    </w:p>
    <w:p>
      <w:pPr>
        <w:spacing w:after="0" w:line="156" w:lineRule="exact"/>
        <w:rPr>
          <w:rFonts w:ascii="Times New Roman" w:cs="Times New Roman" w:eastAsia="Times New Roman" w:hAnsi="Times New Roman"/>
          <w:sz w:val="17"/>
          <w:szCs w:val="17"/>
          <w:color w:val="auto"/>
        </w:rPr>
      </w:pPr>
    </w:p>
    <w:p>
      <w:pPr>
        <w:ind w:right="60" w:firstLine="424"/>
        <w:spacing w:after="0" w:line="279" w:lineRule="auto"/>
        <w:tabs>
          <w:tab w:leader="none" w:pos="664"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Successors</w:t>
      </w:r>
      <w:r>
        <w:rPr>
          <w:rFonts w:ascii="Times New Roman" w:cs="Times New Roman" w:eastAsia="Times New Roman" w:hAnsi="Times New Roman"/>
          <w:sz w:val="17"/>
          <w:szCs w:val="17"/>
          <w:color w:val="auto"/>
        </w:rPr>
        <w:t>. This Agreement will inure to the benefit of and be binding upon the parties hereto and their respective successors and the officers, directors, employees, agents and controlling persons referred to in Section 7, and no other person will have any right or obligation hereunder.</w:t>
      </w:r>
    </w:p>
    <w:p>
      <w:pPr>
        <w:spacing w:after="0" w:line="156" w:lineRule="exact"/>
        <w:rPr>
          <w:rFonts w:ascii="Times New Roman" w:cs="Times New Roman" w:eastAsia="Times New Roman" w:hAnsi="Times New Roman"/>
          <w:sz w:val="17"/>
          <w:szCs w:val="17"/>
          <w:color w:val="auto"/>
        </w:rPr>
      </w:pPr>
    </w:p>
    <w:p>
      <w:pPr>
        <w:ind w:left="680" w:hanging="256"/>
        <w:spacing w:after="0"/>
        <w:tabs>
          <w:tab w:leader="none" w:pos="68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Fiduciary Duty</w:t>
      </w:r>
      <w:r>
        <w:rPr>
          <w:rFonts w:ascii="Times New Roman" w:cs="Times New Roman" w:eastAsia="Times New Roman" w:hAnsi="Times New Roman"/>
          <w:sz w:val="17"/>
          <w:szCs w:val="17"/>
          <w:color w:val="auto"/>
        </w:rPr>
        <w:t>. The Company hereby acknowledges that (a) the purchase and sale of the Shares pursuant to this Agreement is an</w:t>
      </w:r>
    </w:p>
    <w:p>
      <w:pPr>
        <w:spacing w:after="0" w:line="24"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7"/>
          <w:szCs w:val="17"/>
          <w:color w:val="auto"/>
        </w:rPr>
        <w:t>arm’s-length commercial transaction between the Company, on the one hand, and the Manager and any affiliate through which it may be acting, on the other, (b) the Manager is acting solely as sales agent and/or principal in connection with the purchase and sale of the Company’s securities and not as a fiduciary of the Company and (c) the Company’s engagement of the Manager in connection with the offering and the process leading up to the offering is as independent contractors and not in any other capacity. Furthermore, the Company agrees that it is solely responsible for making its own judgments in connection with the offering (irrespective of whether the Manager has advised or is currently advising the Company on related or other matters). The Company agrees that it will not claim that the Manager has rendered advisory services of any nature or respect, or owe an agency, fiduciary or similar duty to the Company, in connection with such transaction or the process leading thereto.</w:t>
      </w:r>
    </w:p>
    <w:p>
      <w:pPr>
        <w:spacing w:after="0" w:line="183" w:lineRule="exact"/>
        <w:rPr>
          <w:sz w:val="20"/>
          <w:szCs w:val="20"/>
          <w:color w:val="auto"/>
        </w:rPr>
      </w:pPr>
    </w:p>
    <w:p>
      <w:pPr>
        <w:ind w:right="180" w:firstLine="424"/>
        <w:spacing w:after="0" w:line="264" w:lineRule="auto"/>
        <w:tabs>
          <w:tab w:leader="none" w:pos="67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Integration</w:t>
      </w:r>
      <w:r>
        <w:rPr>
          <w:rFonts w:ascii="Times New Roman" w:cs="Times New Roman" w:eastAsia="Times New Roman" w:hAnsi="Times New Roman"/>
          <w:sz w:val="17"/>
          <w:szCs w:val="17"/>
          <w:color w:val="auto"/>
        </w:rPr>
        <w:t xml:space="preserve">. This Agreement and any Terms Agreement supersede all prior agreements and understandings (whether written or oral) between the Company and the Manager with respect to the subject matter 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engagement letter, dated as of May 14, 2024, between the Company and the Manager, as amended by that letter amendment dated May 14, 2024, shall remain in full force and effect.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ectPr>
          <w:pgSz w:w="11900" w:h="16838" w:orient="portrait"/>
          <w:cols w:equalWidth="0" w:num="1">
            <w:col w:w="10400"/>
          </w:cols>
          <w:pgMar w:left="740" w:top="263" w:right="759" w:bottom="1440" w:gutter="0" w:footer="0" w:header="0"/>
        </w:sectPr>
      </w:pPr>
    </w:p>
    <w:bookmarkStart w:id="110" w:name="page111"/>
    <w:bookmarkEnd w:id="110"/>
    <w:p>
      <w:pPr>
        <w:ind w:left="-20" w:right="200" w:firstLine="424"/>
        <w:spacing w:after="0" w:line="257" w:lineRule="auto"/>
        <w:tabs>
          <w:tab w:leader="none" w:pos="65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4">
                      <a:extLst>
                        <a:ext uri="{28A0092B-C50C-407E-A947-70E740481C1C}"/>
                      </a:extLst>
                    </a:blip>
                    <a:srcRect/>
                    <a:stretch>
                      <a:fillRect/>
                    </a:stretch>
                  </pic:blipFill>
                  <pic:spPr bwMode="auto">
                    <a:xfrm>
                      <a:off x="0" y="0"/>
                      <a:ext cx="7181850" cy="36830"/>
                    </a:xfrm>
                    <a:prstGeom prst="rect">
                      <a:avLst/>
                    </a:prstGeom>
                    <a:noFill/>
                  </pic:spPr>
                </pic:pic>
              </a:graphicData>
            </a:graphic>
          </wp:anchor>
        </w:drawing>
        <w:t>Amendments; Waivers</w:t>
      </w:r>
      <w:r>
        <w:rPr>
          <w:rFonts w:ascii="Times New Roman" w:cs="Times New Roman" w:eastAsia="Times New Roman" w:hAnsi="Times New Roman"/>
          <w:sz w:val="17"/>
          <w:szCs w:val="17"/>
          <w:color w:val="auto"/>
        </w:rPr>
        <w:t>. No provision of this Agreement may be waived, modified, supplemented or amended except in a written instrument signed, in the case of an amendment, by the Company and the Manager.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spacing w:after="0" w:line="175" w:lineRule="exact"/>
        <w:rPr>
          <w:rFonts w:ascii="Times New Roman" w:cs="Times New Roman" w:eastAsia="Times New Roman" w:hAnsi="Times New Roman"/>
          <w:sz w:val="17"/>
          <w:szCs w:val="17"/>
          <w:color w:val="auto"/>
        </w:rPr>
      </w:pPr>
    </w:p>
    <w:p>
      <w:pPr>
        <w:ind w:left="-20" w:firstLine="424"/>
        <w:spacing w:after="0" w:line="252" w:lineRule="auto"/>
        <w:tabs>
          <w:tab w:leader="none" w:pos="65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Applicable Law</w:t>
      </w:r>
      <w:r>
        <w:rPr>
          <w:rFonts w:ascii="Times New Roman" w:cs="Times New Roman" w:eastAsia="Times New Roman" w:hAnsi="Times New Roman"/>
          <w:sz w:val="17"/>
          <w:szCs w:val="17"/>
          <w:color w:val="auto"/>
        </w:rPr>
        <w:t>. This Agreement and any Terms Agreement will be governed by and construed in accordance with the laws of the State of New York applicable to contracts made and to be performed within the State of New York. Each of the Company and the Manager: (i) agrees that any legal suit, action or proceeding arising out of or relating to this Agreement shall be instituted exclusively in New York Supreme Court, County of New York, or in the United States District Court for the Southern District of New York, (ii) waives any objection which it may have or hereafter to the venue of any such suit, action or proceeding, and (iii) irrevocably consents to the exclusive jurisdiction of the New York Supreme Court, County of New York, and the United States District Court for the Southern District of New York in any such suit, action or proceeding. Each of the Company and the Manager further agrees to accept and acknowledge service of any and all process which may be served in any such suit, action or proceeding in the New York Supreme Court, County of New York, or in the United States District Court for the Southern District of New York and agrees that service of process upon the Company mailed by certified mail to the Company’s address shall be deemed in every respect effective service of process upon the Company, in any such suit, action or proceeding, and service of process upon the Manager mailed by certified mail to the Manager’s address shall be deemed in every respect effective service process upon the Manager, in any such suit, action or proceeding. If either party shall commence an action or proceeding to enforce any provision of this Agreement, then the prevailing party in such action or proceeding shall be reimbursed by the other party for its reasonable attorney’s fees and other costs and expenses incurred with the investigation, preparation and prosecution of such action or proceeding.</w:t>
      </w:r>
    </w:p>
    <w:p>
      <w:pPr>
        <w:spacing w:after="0" w:line="180" w:lineRule="exact"/>
        <w:rPr>
          <w:rFonts w:ascii="Times New Roman" w:cs="Times New Roman" w:eastAsia="Times New Roman" w:hAnsi="Times New Roman"/>
          <w:sz w:val="17"/>
          <w:szCs w:val="17"/>
          <w:color w:val="auto"/>
        </w:rPr>
      </w:pPr>
    </w:p>
    <w:p>
      <w:pPr>
        <w:ind w:left="-20" w:right="180" w:firstLine="424"/>
        <w:spacing w:after="0" w:line="261" w:lineRule="auto"/>
        <w:tabs>
          <w:tab w:leader="none" w:pos="650" w:val="left"/>
        </w:tabs>
        <w:numPr>
          <w:ilvl w:val="0"/>
          <w:numId w:val="10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WAIVER OF JURY TRIAL</w:t>
      </w:r>
      <w:r>
        <w:rPr>
          <w:rFonts w:ascii="Times New Roman" w:cs="Times New Roman" w:eastAsia="Times New Roman" w:hAnsi="Times New Roman"/>
          <w:sz w:val="17"/>
          <w:szCs w:val="17"/>
          <w:b w:val="1"/>
          <w:bCs w:val="1"/>
          <w:color w:val="auto"/>
        </w:rPr>
        <w:t>. THE COMPANY HEREBY IRREVOCABLY WAIVES, TO THE FULLEST EXTENT PERMITTED BY APPLICABLE LAW, ANY AND ALL RIGHT TO TRIAL BY JURY IN ANY LEGAL PROCEEDING ARISING OUT OF OR RELATING TO THIS AGREEMENT, ANY TERMS AGREEMENT OR THE TRANSACTIONS CONTEMPLATED HEREBY OR THEREBY.</w:t>
      </w:r>
    </w:p>
    <w:p>
      <w:pPr>
        <w:spacing w:after="0" w:line="172" w:lineRule="exact"/>
        <w:rPr>
          <w:rFonts w:ascii="Times New Roman" w:cs="Times New Roman" w:eastAsia="Times New Roman" w:hAnsi="Times New Roman"/>
          <w:sz w:val="17"/>
          <w:szCs w:val="17"/>
          <w:b w:val="1"/>
          <w:bCs w:val="1"/>
          <w:color w:val="auto"/>
        </w:rPr>
      </w:pPr>
    </w:p>
    <w:p>
      <w:pPr>
        <w:ind w:left="-20" w:firstLine="424"/>
        <w:spacing w:after="0" w:line="264" w:lineRule="auto"/>
        <w:tabs>
          <w:tab w:leader="none" w:pos="65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and any Terms Agreement may be executed in one or more counterparts, each one of which shall be an original, with the same effect as if the signatures thereto and hereto were upon one and the same agreement. Counterparts may be delivered via electronic mail (including any electronic signature covered by the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ectPr>
          <w:pgSz w:w="11900" w:h="16838" w:orient="portrait"/>
          <w:cols w:equalWidth="0" w:num="1">
            <w:col w:w="10360"/>
          </w:cols>
          <w:pgMar w:left="760" w:top="263" w:right="779" w:bottom="1440" w:gutter="0" w:footer="0" w:header="0"/>
        </w:sectPr>
      </w:pPr>
    </w:p>
    <w:bookmarkStart w:id="111" w:name="page112"/>
    <w:bookmarkEnd w:id="111"/>
    <w:p>
      <w:pPr>
        <w:spacing w:after="0" w:line="26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5">
                      <a:extLst>
                        <a:ext uri="{28A0092B-C50C-407E-A947-70E740481C1C}"/>
                      </a:extLst>
                    </a:blip>
                    <a:srcRect/>
                    <a:stretch>
                      <a:fillRect/>
                    </a:stretch>
                  </pic:blipFill>
                  <pic:spPr bwMode="auto">
                    <a:xfrm>
                      <a:off x="0" y="0"/>
                      <a:ext cx="7181850" cy="36830"/>
                    </a:xfrm>
                    <a:prstGeom prst="rect">
                      <a:avLst/>
                    </a:prstGeom>
                    <a:noFill/>
                  </pic:spPr>
                </pic:pic>
              </a:graphicData>
            </a:graphic>
          </wp:anchor>
        </w:drawing>
        <w:t>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0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42</w:t>
      </w:r>
    </w:p>
    <w:p>
      <w:pPr>
        <w:sectPr>
          <w:pgSz w:w="11900" w:h="16838" w:orient="portrait"/>
          <w:cols w:equalWidth="0" w:num="1">
            <w:col w:w="10040"/>
          </w:cols>
          <w:pgMar w:left="740" w:top="263" w:right="1119" w:bottom="1440" w:gutter="0" w:footer="0" w:header="0"/>
        </w:sectPr>
      </w:pPr>
    </w:p>
    <w:bookmarkStart w:id="112" w:name="page113"/>
    <w:bookmarkEnd w:id="112"/>
    <w:p>
      <w:pPr>
        <w:ind w:right="740" w:firstLine="424"/>
        <w:spacing w:after="0" w:line="279" w:lineRule="auto"/>
        <w:tabs>
          <w:tab w:leader="none" w:pos="67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6">
                      <a:extLst>
                        <a:ext uri="{28A0092B-C50C-407E-A947-70E740481C1C}"/>
                      </a:extLst>
                    </a:blip>
                    <a:srcRect/>
                    <a:stretch>
                      <a:fillRect/>
                    </a:stretch>
                  </pic:blipFill>
                  <pic:spPr bwMode="auto">
                    <a:xfrm>
                      <a:off x="0" y="0"/>
                      <a:ext cx="7181850" cy="36830"/>
                    </a:xfrm>
                    <a:prstGeom prst="rect">
                      <a:avLst/>
                    </a:prstGeom>
                    <a:noFill/>
                  </pic:spPr>
                </pic:pic>
              </a:graphicData>
            </a:graphic>
          </wp:anchor>
        </w:drawing>
        <w:t>Headings</w:t>
      </w:r>
      <w:r>
        <w:rPr>
          <w:rFonts w:ascii="Times New Roman" w:cs="Times New Roman" w:eastAsia="Times New Roman" w:hAnsi="Times New Roman"/>
          <w:sz w:val="17"/>
          <w:szCs w:val="17"/>
          <w:color w:val="auto"/>
        </w:rPr>
        <w:t>. The section headings used in this Agreement and any Terms Agreement are for convenience only and shall not affect the construction hereof.</w:t>
      </w:r>
    </w:p>
    <w:p>
      <w:pPr>
        <w:spacing w:after="0" w:line="157" w:lineRule="exact"/>
        <w:rPr>
          <w:sz w:val="20"/>
          <w:szCs w:val="20"/>
          <w:color w:val="auto"/>
        </w:rPr>
      </w:pPr>
    </w:p>
    <w:p>
      <w:pPr>
        <w:ind w:firstLine="416"/>
        <w:spacing w:after="0" w:line="279" w:lineRule="auto"/>
        <w:rPr>
          <w:sz w:val="20"/>
          <w:szCs w:val="20"/>
          <w:color w:val="auto"/>
        </w:rPr>
      </w:pPr>
      <w:r>
        <w:rPr>
          <w:rFonts w:ascii="Times New Roman" w:cs="Times New Roman" w:eastAsia="Times New Roman" w:hAnsi="Times New Roman"/>
          <w:sz w:val="17"/>
          <w:szCs w:val="17"/>
          <w:color w:val="auto"/>
        </w:rPr>
        <w:t>If the foregoing is in accordance with your understanding of our agreement, please sign and return to us the enclosed duplicate hereof, whereupon this letter and your acceptance shall represent a binding agreement among the Company and the Manager.</w:t>
      </w:r>
    </w:p>
    <w:p>
      <w:pPr>
        <w:spacing w:after="0" w:line="1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w:t>
      </w:r>
    </w:p>
    <w:p>
      <w:pPr>
        <w:spacing w:after="0" w:line="1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43</w:t>
      </w:r>
    </w:p>
    <w:p>
      <w:pPr>
        <w:sectPr>
          <w:pgSz w:w="11900" w:h="16838" w:orient="portrait"/>
          <w:cols w:equalWidth="0" w:num="1">
            <w:col w:w="10340"/>
          </w:cols>
          <w:pgMar w:left="740" w:top="263" w:right="8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7">
                      <a:extLst>
                        <a:ext uri="{28A0092B-C50C-407E-A947-70E740481C1C}"/>
                      </a:extLst>
                    </a:blip>
                    <a:srcRect/>
                    <a:stretch>
                      <a:fillRect/>
                    </a:stretch>
                  </pic:blipFill>
                  <pic:spPr bwMode="auto">
                    <a:xfrm>
                      <a:off x="0" y="0"/>
                      <a:ext cx="7181850" cy="36830"/>
                    </a:xfrm>
                    <a:prstGeom prst="rect">
                      <a:avLst/>
                    </a:prstGeom>
                    <a:noFill/>
                  </pic:spPr>
                </pic:pic>
              </a:graphicData>
            </a:graphic>
          </wp:anchor>
        </w:drawing>
        <w:t>Very truly yours,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T2 BIOSYSTEMS, INC.</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John M. Sprague</w:t>
            </w:r>
          </w:p>
        </w:tc>
      </w:tr>
      <w:tr>
        <w:trPr>
          <w:trHeight w:val="194"/>
        </w:trPr>
        <w:tc>
          <w:tcPr>
            <w:tcW w:w="6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Name:</w:t>
            </w:r>
          </w:p>
        </w:tc>
        <w:tc>
          <w:tcPr>
            <w:tcW w:w="356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John M. Sprague</w:t>
            </w:r>
          </w:p>
        </w:tc>
      </w:tr>
      <w:tr>
        <w:trPr>
          <w:trHeight w:val="219"/>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Address for Notice</w:t>
      </w:r>
      <w:r>
        <w:rPr>
          <w:rFonts w:ascii="Times New Roman" w:cs="Times New Roman" w:eastAsia="Times New Roman" w:hAnsi="Times New Roman"/>
          <w:sz w:val="17"/>
          <w:szCs w:val="17"/>
          <w:color w:val="auto"/>
        </w:rPr>
        <w: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 Hartwell Avenue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Lexington, Massachusetts 02421</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Attn: John Sperzel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With a copy to:</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 Hartwell Avenue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Lexington, Massachusetts 02421</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Attn: Michael Gibbs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w:t>
      </w:r>
    </w:p>
    <w:p>
      <w:pPr>
        <w:spacing w:after="0" w:line="133"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7"/>
          <w:szCs w:val="17"/>
          <w:color w:val="auto"/>
        </w:rPr>
        <w:t>44</w:t>
      </w:r>
    </w:p>
    <w:p>
      <w:pPr>
        <w:sectPr>
          <w:pgSz w:w="11900" w:h="16838" w:orient="portrait"/>
          <w:cols w:equalWidth="0" w:num="1">
            <w:col w:w="9719"/>
          </w:cols>
          <w:pgMar w:left="740" w:top="263" w:right="1440"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8">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The foregoing Agreement is hereby confirmed and accepted as of the date first written above.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H.C. WAINWRIGHT &amp; CO., LLC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 Mark W. Viklund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Mark W. Viklund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-123190</wp:posOffset>
            </wp:positionV>
            <wp:extent cx="244983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9">
                      <a:extLst>
                        <a:ext uri="{28A0092B-C50C-407E-A947-70E740481C1C}"/>
                      </a:extLst>
                    </a:blip>
                    <a:srcRect/>
                    <a:stretch>
                      <a:fillRect/>
                    </a:stretch>
                  </pic:blipFill>
                  <pic:spPr bwMode="auto">
                    <a:xfrm>
                      <a:off x="0" y="0"/>
                      <a:ext cx="244983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Address for Notice</w:t>
      </w:r>
      <w:r>
        <w:rPr>
          <w:rFonts w:ascii="Times New Roman" w:cs="Times New Roman" w:eastAsia="Times New Roman" w:hAnsi="Times New Roman"/>
          <w:sz w:val="17"/>
          <w:szCs w:val="17"/>
          <w:color w:val="auto"/>
        </w:rPr>
        <w: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430 Park Avenue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 10022</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Chief Executive Officer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w:t>
      </w:r>
    </w:p>
    <w:p>
      <w:pPr>
        <w:spacing w:after="0" w:line="13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7"/>
          <w:szCs w:val="17"/>
          <w:color w:val="auto"/>
        </w:rPr>
        <w:t>45</w:t>
      </w:r>
    </w:p>
    <w:p>
      <w:pPr>
        <w:sectPr>
          <w:pgSz w:w="11900" w:h="16838" w:orient="portrait"/>
          <w:cols w:equalWidth="0" w:num="1">
            <w:col w:w="9719"/>
          </w:cols>
          <w:pgMar w:left="740" w:top="263" w:right="1440" w:bottom="1440" w:gutter="0" w:footer="0" w:header="0"/>
        </w:sectPr>
      </w:pPr>
    </w:p>
    <w:bookmarkStart w:id="115" w:name="page116"/>
    <w:bookmarkEnd w:id="115"/>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0">
                      <a:extLst>
                        <a:ext uri="{28A0092B-C50C-407E-A947-70E740481C1C}"/>
                      </a:extLst>
                    </a:blip>
                    <a:srcRect/>
                    <a:stretch>
                      <a:fillRect/>
                    </a:stretch>
                  </pic:blipFill>
                  <pic:spPr bwMode="auto">
                    <a:xfrm>
                      <a:off x="0" y="0"/>
                      <a:ext cx="7181850" cy="36830"/>
                    </a:xfrm>
                    <a:prstGeom prst="rect">
                      <a:avLst/>
                    </a:prstGeom>
                    <a:noFill/>
                  </pic:spPr>
                </pic:pic>
              </a:graphicData>
            </a:graphic>
          </wp:anchor>
        </w:drawing>
        <w:t>Form of Terms Agreement</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ANNEX I</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T2 BIOSYSTEMS, INC.</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TERMS AGREEMENT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Sirs:</w:t>
      </w:r>
    </w:p>
    <w:p>
      <w:pPr>
        <w:spacing w:after="0" w:line="212" w:lineRule="exact"/>
        <w:rPr>
          <w:sz w:val="20"/>
          <w:szCs w:val="20"/>
          <w:color w:val="auto"/>
        </w:rPr>
      </w:pPr>
    </w:p>
    <w:p>
      <w:pPr>
        <w:ind w:right="20" w:firstLine="416"/>
        <w:spacing w:after="0" w:line="264" w:lineRule="auto"/>
        <w:rPr>
          <w:sz w:val="20"/>
          <w:szCs w:val="20"/>
          <w:color w:val="auto"/>
        </w:rPr>
      </w:pPr>
      <w:r>
        <w:rPr>
          <w:rFonts w:ascii="Times New Roman" w:cs="Times New Roman" w:eastAsia="Times New Roman" w:hAnsi="Times New Roman"/>
          <w:sz w:val="17"/>
          <w:szCs w:val="17"/>
          <w:color w:val="auto"/>
        </w:rPr>
        <w:t>T2 Biosystems,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proposes, subject to the terms and conditions stated herein and in the At The Market Offering Agreement, dated July 19, 2024 (the “</w:t>
      </w:r>
      <w:r>
        <w:rPr>
          <w:rFonts w:ascii="Times New Roman" w:cs="Times New Roman" w:eastAsia="Times New Roman" w:hAnsi="Times New Roman"/>
          <w:sz w:val="17"/>
          <w:szCs w:val="17"/>
          <w:u w:val="single" w:color="auto"/>
          <w:color w:val="auto"/>
        </w:rPr>
        <w:t>At The Market Offering Agreement</w:t>
      </w:r>
      <w:r>
        <w:rPr>
          <w:rFonts w:ascii="Times New Roman" w:cs="Times New Roman" w:eastAsia="Times New Roman" w:hAnsi="Times New Roman"/>
          <w:sz w:val="17"/>
          <w:szCs w:val="17"/>
          <w:color w:val="auto"/>
        </w:rPr>
        <w:t>”), between the Company and H.C. Wainwright &amp; Co., LLC (“</w:t>
      </w:r>
      <w:r>
        <w:rPr>
          <w:rFonts w:ascii="Times New Roman" w:cs="Times New Roman" w:eastAsia="Times New Roman" w:hAnsi="Times New Roman"/>
          <w:sz w:val="17"/>
          <w:szCs w:val="17"/>
          <w:u w:val="single" w:color="auto"/>
          <w:color w:val="auto"/>
        </w:rPr>
        <w:t>Manager</w:t>
      </w:r>
      <w:r>
        <w:rPr>
          <w:rFonts w:ascii="Times New Roman" w:cs="Times New Roman" w:eastAsia="Times New Roman" w:hAnsi="Times New Roman"/>
          <w:sz w:val="17"/>
          <w:szCs w:val="17"/>
          <w:color w:val="auto"/>
        </w:rPr>
        <w:t xml:space="preserve">”), to issue and sell to Manager the securities specified in the </w:t>
      </w:r>
      <w:r>
        <w:rPr>
          <w:rFonts w:ascii="Times New Roman" w:cs="Times New Roman" w:eastAsia="Times New Roman" w:hAnsi="Times New Roman"/>
          <w:sz w:val="17"/>
          <w:szCs w:val="17"/>
          <w:u w:val="single" w:color="auto"/>
          <w:color w:val="auto"/>
        </w:rPr>
        <w:t>Schedule I</w:t>
      </w:r>
      <w:r>
        <w:rPr>
          <w:rFonts w:ascii="Times New Roman" w:cs="Times New Roman" w:eastAsia="Times New Roman" w:hAnsi="Times New Roman"/>
          <w:sz w:val="17"/>
          <w:szCs w:val="17"/>
          <w:color w:val="auto"/>
        </w:rPr>
        <w:t xml:space="preserve"> hereto (the “</w:t>
      </w:r>
      <w:r>
        <w:rPr>
          <w:rFonts w:ascii="Times New Roman" w:cs="Times New Roman" w:eastAsia="Times New Roman" w:hAnsi="Times New Roman"/>
          <w:sz w:val="17"/>
          <w:szCs w:val="17"/>
          <w:u w:val="single" w:color="auto"/>
          <w:color w:val="auto"/>
        </w:rPr>
        <w:t>Purchased Shares</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firstLine="416"/>
        <w:spacing w:after="0" w:line="255" w:lineRule="auto"/>
        <w:rPr>
          <w:sz w:val="20"/>
          <w:szCs w:val="20"/>
          <w:color w:val="auto"/>
        </w:rPr>
      </w:pPr>
      <w:r>
        <w:rPr>
          <w:rFonts w:ascii="Times New Roman" w:cs="Times New Roman" w:eastAsia="Times New Roman" w:hAnsi="Times New Roman"/>
          <w:sz w:val="17"/>
          <w:szCs w:val="17"/>
          <w:color w:val="auto"/>
        </w:rPr>
        <w:t>Each of the provisions of the At The Market Offering Agreement not specifically related to the solicitation by the Manager, as agent of the Company, of offers to purchase securities is incorporated herein by reference in its entirety, and shall be deemed to be part of this Terms Agreement to the same extent as if such provisions had been set forth in full herein. Each of the representations and warranties set forth therein shall be deemed to have been made at and as of the date of this Terms Agreement and the Time of Delivery, except that each representation and warranty in Section 3 of the At The Market Offering Agreement which makes reference to the Prospectus (as therein defined) shall be deemed to be a representation and warranty as of the date of the At The Market Offering Agreement in relation to the Prospectus, and also a representation and warranty as of the date of this Terms Agreement and the Time of Delivery in relation to the Prospectus as amended and supplemented to relate to the Purchased Shares.</w:t>
      </w:r>
    </w:p>
    <w:p>
      <w:pPr>
        <w:spacing w:after="0" w:line="176" w:lineRule="exact"/>
        <w:rPr>
          <w:sz w:val="20"/>
          <w:szCs w:val="20"/>
          <w:color w:val="auto"/>
        </w:rPr>
      </w:pPr>
    </w:p>
    <w:p>
      <w:pPr>
        <w:ind w:right="300" w:firstLine="416"/>
        <w:spacing w:after="0" w:line="264" w:lineRule="auto"/>
        <w:rPr>
          <w:sz w:val="20"/>
          <w:szCs w:val="20"/>
          <w:color w:val="auto"/>
        </w:rPr>
      </w:pPr>
      <w:r>
        <w:rPr>
          <w:rFonts w:ascii="Times New Roman" w:cs="Times New Roman" w:eastAsia="Times New Roman" w:hAnsi="Times New Roman"/>
          <w:sz w:val="17"/>
          <w:szCs w:val="17"/>
          <w:color w:val="auto"/>
        </w:rPr>
        <w:t>An amendment to the Registration Statement (as defined in the At The Market Offering Agreement), or a supplement to the Prospectus, as the case may be, relating to the Purchased Shares, in the form heretofore delivered to the Manager is now proposed to be filed with the Securities and Exchange Commission.</w:t>
      </w:r>
    </w:p>
    <w:p>
      <w:pPr>
        <w:spacing w:after="0" w:line="170" w:lineRule="exact"/>
        <w:rPr>
          <w:sz w:val="20"/>
          <w:szCs w:val="20"/>
          <w:color w:val="auto"/>
        </w:rPr>
      </w:pPr>
    </w:p>
    <w:p>
      <w:pPr>
        <w:ind w:right="60" w:firstLine="416"/>
        <w:spacing w:after="0" w:line="264" w:lineRule="auto"/>
        <w:rPr>
          <w:sz w:val="20"/>
          <w:szCs w:val="20"/>
          <w:color w:val="auto"/>
        </w:rPr>
      </w:pPr>
      <w:r>
        <w:rPr>
          <w:rFonts w:ascii="Times New Roman" w:cs="Times New Roman" w:eastAsia="Times New Roman" w:hAnsi="Times New Roman"/>
          <w:sz w:val="17"/>
          <w:szCs w:val="17"/>
          <w:color w:val="auto"/>
        </w:rPr>
        <w:t xml:space="preserve">Subject to the terms and conditions set forth herein and in the At The Market Offering Agreement which are incorporated herein by reference, the Company agrees to issue and sell to the Manager and the latter agrees to purchase from the Company the number of shares of the Purchased Shares at the time and place and at the purchase price set forth in the </w:t>
      </w:r>
      <w:r>
        <w:rPr>
          <w:rFonts w:ascii="Times New Roman" w:cs="Times New Roman" w:eastAsia="Times New Roman" w:hAnsi="Times New Roman"/>
          <w:sz w:val="17"/>
          <w:szCs w:val="17"/>
          <w:u w:val="single" w:color="auto"/>
          <w:color w:val="auto"/>
        </w:rPr>
        <w:t>Schedule I</w:t>
      </w:r>
      <w:r>
        <w:rPr>
          <w:rFonts w:ascii="Times New Roman" w:cs="Times New Roman" w:eastAsia="Times New Roman" w:hAnsi="Times New Roman"/>
          <w:sz w:val="17"/>
          <w:szCs w:val="17"/>
          <w:color w:val="auto"/>
        </w:rPr>
        <w:t xml:space="preserve"> hereto.</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46</w:t>
      </w:r>
    </w:p>
    <w:p>
      <w:pPr>
        <w:sectPr>
          <w:pgSz w:w="11900" w:h="16838" w:orient="portrait"/>
          <w:cols w:equalWidth="0" w:num="1">
            <w:col w:w="10380"/>
          </w:cols>
          <w:pgMar w:left="740" w:top="259" w:right="779" w:bottom="1440" w:gutter="0" w:footer="0" w:header="0"/>
        </w:sectPr>
      </w:pPr>
    </w:p>
    <w:bookmarkStart w:id="116" w:name="page117"/>
    <w:bookmarkEnd w:id="116"/>
    <w:p>
      <w:pPr>
        <w:ind w:firstLine="416"/>
        <w:spacing w:after="0" w:line="26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1">
                      <a:extLst>
                        <a:ext uri="{28A0092B-C50C-407E-A947-70E740481C1C}"/>
                      </a:extLst>
                    </a:blip>
                    <a:srcRect/>
                    <a:stretch>
                      <a:fillRect/>
                    </a:stretch>
                  </pic:blipFill>
                  <pic:spPr bwMode="auto">
                    <a:xfrm>
                      <a:off x="0" y="0"/>
                      <a:ext cx="7181850" cy="36830"/>
                    </a:xfrm>
                    <a:prstGeom prst="rect">
                      <a:avLst/>
                    </a:prstGeom>
                    <a:noFill/>
                  </pic:spPr>
                </pic:pic>
              </a:graphicData>
            </a:graphic>
          </wp:anchor>
        </w:drawing>
        <w:t>If the foregoing is in accordance with your understanding, please sign and return to us a counterpart hereof, whereupon this Terms Agreement, including those provisions of the At The Market Offering Agreement incorporated herein by reference, shall constitute a binding agreement between the Manager and the Company.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T2 BIOSYSTEMS, INC.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15875</wp:posOffset>
            </wp:positionV>
            <wp:extent cx="24180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2">
                      <a:extLst>
                        <a:ext uri="{28A0092B-C50C-407E-A947-70E740481C1C}"/>
                      </a:extLst>
                    </a:blip>
                    <a:srcRect/>
                    <a:stretch>
                      <a:fillRect/>
                    </a:stretch>
                  </pic:blipFill>
                  <pic:spPr bwMode="auto">
                    <a:xfrm>
                      <a:off x="0" y="0"/>
                      <a:ext cx="2418080" cy="8255"/>
                    </a:xfrm>
                    <a:prstGeom prst="rect">
                      <a:avLst/>
                    </a:prstGeom>
                    <a:noFill/>
                  </pic:spPr>
                </pic:pic>
              </a:graphicData>
            </a:graphic>
          </wp:anchor>
        </w:drawing>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Name:</w:t>
      </w:r>
    </w:p>
    <w:p>
      <w:pPr>
        <w:spacing w:after="0" w:line="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Title: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ACCEPTED as of the date first written above.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H.C. WAINWRIGHT &amp; CO., LLC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15875</wp:posOffset>
            </wp:positionV>
            <wp:extent cx="24180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3">
                      <a:extLst>
                        <a:ext uri="{28A0092B-C50C-407E-A947-70E740481C1C}"/>
                      </a:extLst>
                    </a:blip>
                    <a:srcRect/>
                    <a:stretch>
                      <a:fillRect/>
                    </a:stretch>
                  </pic:blipFill>
                  <pic:spPr bwMode="auto">
                    <a:xfrm>
                      <a:off x="0" y="0"/>
                      <a:ext cx="2418080" cy="8255"/>
                    </a:xfrm>
                    <a:prstGeom prst="rect">
                      <a:avLst/>
                    </a:prstGeom>
                    <a:noFill/>
                  </pic:spPr>
                </pic:pic>
              </a:graphicData>
            </a:graphic>
          </wp:anchor>
        </w:drawing>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Name:</w:t>
      </w:r>
    </w:p>
    <w:p>
      <w:pPr>
        <w:spacing w:after="0" w:line="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Title:</w:t>
      </w:r>
    </w:p>
    <w:p>
      <w:pPr>
        <w:spacing w:after="0" w:line="1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47</w:t>
      </w:r>
    </w:p>
    <w:p>
      <w:pPr>
        <w:sectPr>
          <w:pgSz w:w="11900" w:h="16838" w:orient="portrait"/>
          <w:cols w:equalWidth="0" w:num="1">
            <w:col w:w="10360"/>
          </w:cols>
          <w:pgMar w:left="740" w:top="263" w:right="79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21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7"/>
          <w:szCs w:val="17"/>
          <w:color w:val="auto"/>
        </w:rPr>
        <w:t>T2 BIOSYSTEMS,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2168525</wp:posOffset>
            </wp:positionH>
            <wp:positionV relativeFrom="paragraph">
              <wp:posOffset>226060</wp:posOffset>
            </wp:positionV>
            <wp:extent cx="138303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4">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7"/>
          <w:szCs w:val="17"/>
          <w:b w:val="1"/>
          <w:bCs w:val="1"/>
          <w:color w:val="auto"/>
        </w:rPr>
        <w:t>INDENTURE</w:t>
      </w:r>
    </w:p>
    <w:p>
      <w:pPr>
        <w:spacing w:after="0" w:line="21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color w:val="auto"/>
        </w:rPr>
        <w:t>Dated as of ______________, 20_____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2168525</wp:posOffset>
            </wp:positionH>
            <wp:positionV relativeFrom="paragraph">
              <wp:posOffset>234315</wp:posOffset>
            </wp:positionV>
            <wp:extent cx="138303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5">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color w:val="auto"/>
        </w:rPr>
        <w:t>[_________________]</w:t>
      </w:r>
    </w:p>
    <w:p>
      <w:pPr>
        <w:spacing w:after="0" w:line="21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color w:val="auto"/>
        </w:rPr>
        <w:t>Trustee</w:t>
      </w:r>
    </w:p>
    <w:p>
      <w:pPr>
        <w:sectPr>
          <w:pgSz w:w="11900" w:h="16838" w:orient="portrait"/>
          <w:cols w:equalWidth="0" w:num="1">
            <w:col w:w="9700"/>
          </w:cols>
          <w:pgMar w:left="1440" w:top="119" w:right="759" w:bottom="1440" w:gutter="0" w:footer="0" w:header="0"/>
        </w:sectPr>
      </w:pPr>
    </w:p>
    <w:bookmarkStart w:id="118" w:name="page119"/>
    <w:bookmarkEnd w:id="118"/>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6">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40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90"/>
        </w:trPr>
        <w:tc>
          <w:tcPr>
            <w:tcW w:w="7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I. DEFINITIONS AND INCORPORATION BY REFERENCE</w:t>
            </w:r>
          </w:p>
        </w:tc>
        <w:tc>
          <w:tcPr>
            <w:tcW w:w="2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90"/>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1.1</w:t>
            </w:r>
          </w:p>
        </w:tc>
        <w:tc>
          <w:tcPr>
            <w:tcW w:w="6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Definitions</w:t>
            </w:r>
          </w:p>
        </w:tc>
        <w:tc>
          <w:tcPr>
            <w:tcW w:w="2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04"/>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1.2</w:t>
            </w:r>
          </w:p>
        </w:tc>
        <w:tc>
          <w:tcPr>
            <w:tcW w:w="6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Definitions</w:t>
            </w:r>
          </w:p>
        </w:tc>
        <w:tc>
          <w:tcPr>
            <w:tcW w:w="2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04"/>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1.3</w:t>
            </w:r>
          </w:p>
        </w:tc>
        <w:tc>
          <w:tcPr>
            <w:tcW w:w="6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Incorporation by Reference of Trust Indenture Act</w:t>
            </w:r>
          </w:p>
        </w:tc>
        <w:tc>
          <w:tcPr>
            <w:tcW w:w="2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9"/>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1.4</w:t>
            </w:r>
          </w:p>
        </w:tc>
        <w:tc>
          <w:tcPr>
            <w:tcW w:w="6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Rules of Construction</w:t>
            </w:r>
          </w:p>
        </w:tc>
        <w:tc>
          <w:tcPr>
            <w:tcW w:w="2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306"/>
        </w:trPr>
        <w:tc>
          <w:tcPr>
            <w:tcW w:w="7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II. THE SECURITIES</w:t>
            </w:r>
          </w:p>
        </w:tc>
        <w:tc>
          <w:tcPr>
            <w:tcW w:w="2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90"/>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2.1</w:t>
            </w:r>
          </w:p>
        </w:tc>
        <w:tc>
          <w:tcPr>
            <w:tcW w:w="6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Issuable in Series</w:t>
            </w:r>
          </w:p>
        </w:tc>
        <w:tc>
          <w:tcPr>
            <w:tcW w:w="2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04"/>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2.2</w:t>
            </w:r>
          </w:p>
        </w:tc>
        <w:tc>
          <w:tcPr>
            <w:tcW w:w="6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Establishment of Terms of Series of Securities</w:t>
            </w:r>
          </w:p>
        </w:tc>
        <w:tc>
          <w:tcPr>
            <w:tcW w:w="2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04"/>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2.3</w:t>
            </w:r>
          </w:p>
        </w:tc>
        <w:tc>
          <w:tcPr>
            <w:tcW w:w="6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Execution and Authentication</w:t>
            </w:r>
          </w:p>
        </w:tc>
        <w:tc>
          <w:tcPr>
            <w:tcW w:w="2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04"/>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2.4</w:t>
            </w:r>
          </w:p>
        </w:tc>
        <w:tc>
          <w:tcPr>
            <w:tcW w:w="6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Registrar and Paying Agent</w:t>
            </w:r>
          </w:p>
        </w:tc>
        <w:tc>
          <w:tcPr>
            <w:tcW w:w="2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04"/>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2.5</w:t>
            </w:r>
          </w:p>
        </w:tc>
        <w:tc>
          <w:tcPr>
            <w:tcW w:w="6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Paying Agent to Hold Money in Trust</w:t>
            </w:r>
          </w:p>
        </w:tc>
        <w:tc>
          <w:tcPr>
            <w:tcW w:w="2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04"/>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2.6</w:t>
            </w:r>
          </w:p>
        </w:tc>
        <w:tc>
          <w:tcPr>
            <w:tcW w:w="6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Securityholder Lists</w:t>
            </w:r>
          </w:p>
        </w:tc>
        <w:tc>
          <w:tcPr>
            <w:tcW w:w="2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04"/>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2.7</w:t>
            </w:r>
          </w:p>
        </w:tc>
        <w:tc>
          <w:tcPr>
            <w:tcW w:w="6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Transfer and Exchange</w:t>
            </w:r>
          </w:p>
        </w:tc>
        <w:tc>
          <w:tcPr>
            <w:tcW w:w="2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04"/>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2.8</w:t>
            </w:r>
          </w:p>
        </w:tc>
        <w:tc>
          <w:tcPr>
            <w:tcW w:w="6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Mutilated, Destroyed, Lost and Stolen Securities</w:t>
            </w:r>
          </w:p>
        </w:tc>
        <w:tc>
          <w:tcPr>
            <w:tcW w:w="2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04"/>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2.9</w:t>
            </w:r>
          </w:p>
        </w:tc>
        <w:tc>
          <w:tcPr>
            <w:tcW w:w="6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Outstanding Securities</w:t>
            </w:r>
          </w:p>
        </w:tc>
        <w:tc>
          <w:tcPr>
            <w:tcW w:w="2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04"/>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2.10</w:t>
            </w:r>
          </w:p>
        </w:tc>
        <w:tc>
          <w:tcPr>
            <w:tcW w:w="6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Treasury Securities</w:t>
            </w:r>
          </w:p>
        </w:tc>
        <w:tc>
          <w:tcPr>
            <w:tcW w:w="2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04"/>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2.11</w:t>
            </w:r>
          </w:p>
        </w:tc>
        <w:tc>
          <w:tcPr>
            <w:tcW w:w="6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Temporary Securities</w:t>
            </w:r>
          </w:p>
        </w:tc>
        <w:tc>
          <w:tcPr>
            <w:tcW w:w="2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04"/>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2.12</w:t>
            </w:r>
          </w:p>
        </w:tc>
        <w:tc>
          <w:tcPr>
            <w:tcW w:w="6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Cancellation</w:t>
            </w:r>
          </w:p>
        </w:tc>
        <w:tc>
          <w:tcPr>
            <w:tcW w:w="2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04"/>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2.13</w:t>
            </w:r>
          </w:p>
        </w:tc>
        <w:tc>
          <w:tcPr>
            <w:tcW w:w="6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Defaulted Interest</w:t>
            </w:r>
          </w:p>
        </w:tc>
        <w:tc>
          <w:tcPr>
            <w:tcW w:w="2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04"/>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2.14</w:t>
            </w:r>
          </w:p>
        </w:tc>
        <w:tc>
          <w:tcPr>
            <w:tcW w:w="6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Global Securities</w:t>
            </w:r>
          </w:p>
        </w:tc>
        <w:tc>
          <w:tcPr>
            <w:tcW w:w="2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9"/>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2.15</w:t>
            </w:r>
          </w:p>
        </w:tc>
        <w:tc>
          <w:tcPr>
            <w:tcW w:w="6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CUSIP Numbers</w:t>
            </w:r>
          </w:p>
        </w:tc>
        <w:tc>
          <w:tcPr>
            <w:tcW w:w="2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306"/>
        </w:trPr>
        <w:tc>
          <w:tcPr>
            <w:tcW w:w="7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III. REDEMPTION</w:t>
            </w:r>
          </w:p>
        </w:tc>
        <w:tc>
          <w:tcPr>
            <w:tcW w:w="2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90"/>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3.1</w:t>
            </w:r>
          </w:p>
        </w:tc>
        <w:tc>
          <w:tcPr>
            <w:tcW w:w="6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Notice to Trustee</w:t>
            </w:r>
          </w:p>
        </w:tc>
        <w:tc>
          <w:tcPr>
            <w:tcW w:w="2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04"/>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3.2</w:t>
            </w:r>
          </w:p>
        </w:tc>
        <w:tc>
          <w:tcPr>
            <w:tcW w:w="6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Selection of Securities to be Redeemed</w:t>
            </w:r>
          </w:p>
        </w:tc>
        <w:tc>
          <w:tcPr>
            <w:tcW w:w="2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04"/>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3.3</w:t>
            </w:r>
          </w:p>
        </w:tc>
        <w:tc>
          <w:tcPr>
            <w:tcW w:w="6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Notice of Redemption</w:t>
            </w:r>
          </w:p>
        </w:tc>
        <w:tc>
          <w:tcPr>
            <w:tcW w:w="2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04"/>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3.4</w:t>
            </w:r>
          </w:p>
        </w:tc>
        <w:tc>
          <w:tcPr>
            <w:tcW w:w="6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Effect of Notice of Redemption</w:t>
            </w:r>
          </w:p>
        </w:tc>
        <w:tc>
          <w:tcPr>
            <w:tcW w:w="2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04"/>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3.5</w:t>
            </w:r>
          </w:p>
        </w:tc>
        <w:tc>
          <w:tcPr>
            <w:tcW w:w="6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Deposit of Redemption Price</w:t>
            </w:r>
          </w:p>
        </w:tc>
        <w:tc>
          <w:tcPr>
            <w:tcW w:w="2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19"/>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3.6</w:t>
            </w:r>
          </w:p>
        </w:tc>
        <w:tc>
          <w:tcPr>
            <w:tcW w:w="6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Securities Redeemed in Part</w:t>
            </w:r>
          </w:p>
        </w:tc>
        <w:tc>
          <w:tcPr>
            <w:tcW w:w="2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306"/>
        </w:trPr>
        <w:tc>
          <w:tcPr>
            <w:tcW w:w="7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IV. COVENANTS</w:t>
            </w:r>
          </w:p>
        </w:tc>
        <w:tc>
          <w:tcPr>
            <w:tcW w:w="2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90"/>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4.1</w:t>
            </w:r>
          </w:p>
        </w:tc>
        <w:tc>
          <w:tcPr>
            <w:tcW w:w="6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Payment of Principal and Interest</w:t>
            </w:r>
          </w:p>
        </w:tc>
        <w:tc>
          <w:tcPr>
            <w:tcW w:w="2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04"/>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4.2</w:t>
            </w:r>
          </w:p>
        </w:tc>
        <w:tc>
          <w:tcPr>
            <w:tcW w:w="6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 Reports</w:t>
            </w:r>
          </w:p>
        </w:tc>
        <w:tc>
          <w:tcPr>
            <w:tcW w:w="2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04"/>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4.3</w:t>
            </w:r>
          </w:p>
        </w:tc>
        <w:tc>
          <w:tcPr>
            <w:tcW w:w="6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Compliance Certificate</w:t>
            </w:r>
          </w:p>
        </w:tc>
        <w:tc>
          <w:tcPr>
            <w:tcW w:w="2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19"/>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4.4</w:t>
            </w:r>
          </w:p>
        </w:tc>
        <w:tc>
          <w:tcPr>
            <w:tcW w:w="6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Stay, Extension and Usury Laws</w:t>
            </w:r>
          </w:p>
        </w:tc>
        <w:tc>
          <w:tcPr>
            <w:tcW w:w="2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306"/>
        </w:trPr>
        <w:tc>
          <w:tcPr>
            <w:tcW w:w="7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V. SUCCESSORS</w:t>
            </w:r>
          </w:p>
        </w:tc>
        <w:tc>
          <w:tcPr>
            <w:tcW w:w="2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90"/>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5.1</w:t>
            </w:r>
          </w:p>
        </w:tc>
        <w:tc>
          <w:tcPr>
            <w:tcW w:w="6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When Company May Merge, Etc.</w:t>
            </w:r>
          </w:p>
        </w:tc>
        <w:tc>
          <w:tcPr>
            <w:tcW w:w="2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19"/>
        </w:trPr>
        <w:tc>
          <w:tcPr>
            <w:tcW w:w="1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5.2</w:t>
            </w:r>
          </w:p>
        </w:tc>
        <w:tc>
          <w:tcPr>
            <w:tcW w:w="6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Successor Corporation Substituted</w:t>
            </w:r>
          </w:p>
        </w:tc>
        <w:tc>
          <w:tcPr>
            <w:tcW w:w="2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bl>
    <w:p>
      <w:pPr>
        <w:sectPr>
          <w:pgSz w:w="11900" w:h="16838" w:orient="portrait"/>
          <w:cols w:equalWidth="0" w:num="1">
            <w:col w:w="10340"/>
          </w:cols>
          <w:pgMar w:left="740" w:top="259" w:right="819" w:bottom="1440" w:gutter="0" w:footer="0" w:header="0"/>
        </w:sectPr>
      </w:pPr>
    </w:p>
    <w:bookmarkStart w:id="119" w:name="page120"/>
    <w:bookmarkEnd w:id="1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9"/>
        </w:trPr>
        <w:tc>
          <w:tcPr>
            <w:tcW w:w="8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VI. DEFAULTS AND REMEDIES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90"/>
        </w:trPr>
        <w:tc>
          <w:tcPr>
            <w:tcW w:w="1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6.1</w:t>
            </w: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Events of Default</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04"/>
        </w:trPr>
        <w:tc>
          <w:tcPr>
            <w:tcW w:w="1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6.2</w:t>
            </w: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Acceleration of Maturity; Rescission and Annulment</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04"/>
        </w:trPr>
        <w:tc>
          <w:tcPr>
            <w:tcW w:w="1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6.3</w:t>
            </w: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Collection of Indebtedness and Suits for Enforcement by Trustee</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04"/>
        </w:trPr>
        <w:tc>
          <w:tcPr>
            <w:tcW w:w="1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6.4</w:t>
            </w: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Trustee May File Proofs of Claim</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04"/>
        </w:trPr>
        <w:tc>
          <w:tcPr>
            <w:tcW w:w="1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6.5</w:t>
            </w: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Trustee May Enforce Claims Without Possession of Securities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04"/>
        </w:trPr>
        <w:tc>
          <w:tcPr>
            <w:tcW w:w="1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6.6</w:t>
            </w: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Application of Money Collected</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04"/>
        </w:trPr>
        <w:tc>
          <w:tcPr>
            <w:tcW w:w="1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6.7</w:t>
            </w: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Limitation on Suits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04"/>
        </w:trPr>
        <w:tc>
          <w:tcPr>
            <w:tcW w:w="1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6.8</w:t>
            </w: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Unconditional Right of Holders to Receive Principal and Interest</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04"/>
        </w:trPr>
        <w:tc>
          <w:tcPr>
            <w:tcW w:w="1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6.9</w:t>
            </w: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Restoration of Rights and Remedies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04"/>
        </w:trPr>
        <w:tc>
          <w:tcPr>
            <w:tcW w:w="1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6.10</w:t>
            </w: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Rights and Remedies Cumulative</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04"/>
        </w:trPr>
        <w:tc>
          <w:tcPr>
            <w:tcW w:w="1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6.11</w:t>
            </w: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Delay or Omission Not Waiver</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04"/>
        </w:trPr>
        <w:tc>
          <w:tcPr>
            <w:tcW w:w="1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6.12</w:t>
            </w: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Control by Holders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04"/>
        </w:trPr>
        <w:tc>
          <w:tcPr>
            <w:tcW w:w="1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6.13</w:t>
            </w: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Waiver of Past Defaults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19"/>
        </w:trPr>
        <w:tc>
          <w:tcPr>
            <w:tcW w:w="1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6.14</w:t>
            </w: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Undertaking for Costs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306"/>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w w:val="98"/>
              </w:rPr>
              <w:t>Article VII. TRUSTEE</w:t>
            </w:r>
          </w:p>
        </w:tc>
        <w:tc>
          <w:tcPr>
            <w:tcW w:w="650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90"/>
        </w:trPr>
        <w:tc>
          <w:tcPr>
            <w:tcW w:w="1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7.1</w:t>
            </w: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Duties of Trustee</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04"/>
        </w:trPr>
        <w:tc>
          <w:tcPr>
            <w:tcW w:w="1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7.2</w:t>
            </w: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Rights of Trustee</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04"/>
        </w:trPr>
        <w:tc>
          <w:tcPr>
            <w:tcW w:w="1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7.3</w:t>
            </w: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Individual Rights of Trustee</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04"/>
        </w:trPr>
        <w:tc>
          <w:tcPr>
            <w:tcW w:w="1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7.4</w:t>
            </w: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Trustee’s Disclaimer</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04"/>
        </w:trPr>
        <w:tc>
          <w:tcPr>
            <w:tcW w:w="1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7.5</w:t>
            </w: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Notice of Defaults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04"/>
        </w:trPr>
        <w:tc>
          <w:tcPr>
            <w:tcW w:w="1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7.6</w:t>
            </w: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Reports by Trustee to Holders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04"/>
        </w:trPr>
        <w:tc>
          <w:tcPr>
            <w:tcW w:w="1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7.7</w:t>
            </w: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Compensation and Indemnity</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04"/>
        </w:trPr>
        <w:tc>
          <w:tcPr>
            <w:tcW w:w="1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7.8</w:t>
            </w: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Replacement of Trustee</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04"/>
        </w:trPr>
        <w:tc>
          <w:tcPr>
            <w:tcW w:w="1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7.9</w:t>
            </w: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Successor Trustee by Merger, Etc.</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04"/>
        </w:trPr>
        <w:tc>
          <w:tcPr>
            <w:tcW w:w="1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7.10</w:t>
            </w: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Eligibility; Disqualification</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19"/>
        </w:trPr>
        <w:tc>
          <w:tcPr>
            <w:tcW w:w="1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7.11</w:t>
            </w: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Preferential Collection of Claims Against Company</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306"/>
        </w:trPr>
        <w:tc>
          <w:tcPr>
            <w:tcW w:w="8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VIII. SATISFACTION AND DISCHARGE; DEFEASANCE</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90"/>
        </w:trPr>
        <w:tc>
          <w:tcPr>
            <w:tcW w:w="1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8.1</w:t>
            </w: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Satisfaction and Discharge of Indenture</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04"/>
        </w:trPr>
        <w:tc>
          <w:tcPr>
            <w:tcW w:w="1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8.2</w:t>
            </w: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Application of Trust Funds; Indemnification</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04"/>
        </w:trPr>
        <w:tc>
          <w:tcPr>
            <w:tcW w:w="1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8.3</w:t>
            </w: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Legal Defeasance of Securities of any Series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04"/>
        </w:trPr>
        <w:tc>
          <w:tcPr>
            <w:tcW w:w="1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8.4</w:t>
            </w: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Covenant Defeasance</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04"/>
        </w:trPr>
        <w:tc>
          <w:tcPr>
            <w:tcW w:w="1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8.5</w:t>
            </w: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Repayment to Company</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19"/>
        </w:trPr>
        <w:tc>
          <w:tcPr>
            <w:tcW w:w="1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8.6</w:t>
            </w: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Reinstatement</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306"/>
        </w:trPr>
        <w:tc>
          <w:tcPr>
            <w:tcW w:w="8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IX. AMENDMENTS AND WAIVERS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90"/>
        </w:trPr>
        <w:tc>
          <w:tcPr>
            <w:tcW w:w="1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9.1</w:t>
            </w: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Without Consent of Holders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04"/>
        </w:trPr>
        <w:tc>
          <w:tcPr>
            <w:tcW w:w="1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9.2</w:t>
            </w: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With Consent of Holders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04"/>
        </w:trPr>
        <w:tc>
          <w:tcPr>
            <w:tcW w:w="1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9.3</w:t>
            </w: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Limitations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19"/>
        </w:trPr>
        <w:tc>
          <w:tcPr>
            <w:tcW w:w="1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9.4</w:t>
            </w: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Compliance with Trust Indenture Act</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bl>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iii</w:t>
      </w:r>
    </w:p>
    <w:p>
      <w:pPr>
        <w:sectPr>
          <w:pgSz w:w="11900" w:h="16838" w:orient="portrait"/>
          <w:cols w:equalWidth="0" w:num="1">
            <w:col w:w="10340"/>
          </w:cols>
          <w:pgMar w:left="740" w:top="263" w:right="81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04"/>
        </w:trPr>
        <w:tc>
          <w:tcPr>
            <w:tcW w:w="1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9.5</w:t>
            </w:r>
          </w:p>
        </w:tc>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Revocation and Effect of Consents</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04"/>
        </w:trPr>
        <w:tc>
          <w:tcPr>
            <w:tcW w:w="1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9.6</w:t>
            </w:r>
          </w:p>
        </w:tc>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Notation on or Exchange of Securities</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19"/>
        </w:trPr>
        <w:tc>
          <w:tcPr>
            <w:tcW w:w="1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9.7</w:t>
            </w:r>
          </w:p>
        </w:tc>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Trustee Protected</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306"/>
        </w:trPr>
        <w:tc>
          <w:tcPr>
            <w:tcW w:w="8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X. MISCELLANEOUS</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90"/>
        </w:trPr>
        <w:tc>
          <w:tcPr>
            <w:tcW w:w="1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10.1</w:t>
            </w:r>
          </w:p>
        </w:tc>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Trust Indenture Act Controls</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04"/>
        </w:trPr>
        <w:tc>
          <w:tcPr>
            <w:tcW w:w="1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10.2</w:t>
            </w:r>
          </w:p>
        </w:tc>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Notices</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04"/>
        </w:trPr>
        <w:tc>
          <w:tcPr>
            <w:tcW w:w="1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10.3</w:t>
            </w:r>
          </w:p>
        </w:tc>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Communication by Holders with Other Holders</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04"/>
        </w:trPr>
        <w:tc>
          <w:tcPr>
            <w:tcW w:w="1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10.4</w:t>
            </w:r>
          </w:p>
        </w:tc>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Certificate and Opinion as to Conditions Precedent</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04"/>
        </w:trPr>
        <w:tc>
          <w:tcPr>
            <w:tcW w:w="1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10.5</w:t>
            </w:r>
          </w:p>
        </w:tc>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Statements Required in Certificate or Opinion</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04"/>
        </w:trPr>
        <w:tc>
          <w:tcPr>
            <w:tcW w:w="1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10.6</w:t>
            </w:r>
          </w:p>
        </w:tc>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Rules by Trustee and Agents</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04"/>
        </w:trPr>
        <w:tc>
          <w:tcPr>
            <w:tcW w:w="1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10.7</w:t>
            </w:r>
          </w:p>
        </w:tc>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Legal Holidays</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04"/>
        </w:trPr>
        <w:tc>
          <w:tcPr>
            <w:tcW w:w="1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10.8</w:t>
            </w:r>
          </w:p>
        </w:tc>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 Recourse Against Others</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04"/>
        </w:trPr>
        <w:tc>
          <w:tcPr>
            <w:tcW w:w="1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10.9</w:t>
            </w:r>
          </w:p>
        </w:tc>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Counterparts</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04"/>
        </w:trPr>
        <w:tc>
          <w:tcPr>
            <w:tcW w:w="1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10.10</w:t>
            </w:r>
          </w:p>
        </w:tc>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Governing Law; Waiver of Jury Trial; Consent to Jurisdiction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04"/>
        </w:trPr>
        <w:tc>
          <w:tcPr>
            <w:tcW w:w="1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10.11</w:t>
            </w:r>
          </w:p>
        </w:tc>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 Adverse Interpretation of Other Agreements</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04"/>
        </w:trPr>
        <w:tc>
          <w:tcPr>
            <w:tcW w:w="1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10.12</w:t>
            </w:r>
          </w:p>
        </w:tc>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Successors</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04"/>
        </w:trPr>
        <w:tc>
          <w:tcPr>
            <w:tcW w:w="1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10.13</w:t>
            </w:r>
          </w:p>
        </w:tc>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Severability</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04"/>
        </w:trPr>
        <w:tc>
          <w:tcPr>
            <w:tcW w:w="1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10.14</w:t>
            </w:r>
          </w:p>
        </w:tc>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Table of Contents, Headings, Etc.</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04"/>
        </w:trPr>
        <w:tc>
          <w:tcPr>
            <w:tcW w:w="1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10.15</w:t>
            </w:r>
          </w:p>
        </w:tc>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Securities in a Foreign Currency</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04"/>
        </w:trPr>
        <w:tc>
          <w:tcPr>
            <w:tcW w:w="1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10.16</w:t>
            </w:r>
          </w:p>
        </w:tc>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Judgment Currency</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04"/>
        </w:trPr>
        <w:tc>
          <w:tcPr>
            <w:tcW w:w="1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10.17</w:t>
            </w:r>
          </w:p>
        </w:tc>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Force Majeure</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19"/>
        </w:trPr>
        <w:tc>
          <w:tcPr>
            <w:tcW w:w="1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10.18</w:t>
            </w:r>
          </w:p>
        </w:tc>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U.S.A. Patriot Act</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306"/>
        </w:trPr>
        <w:tc>
          <w:tcPr>
            <w:tcW w:w="8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XI. SINKING FUNDS</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90"/>
        </w:trPr>
        <w:tc>
          <w:tcPr>
            <w:tcW w:w="1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11.1</w:t>
            </w:r>
          </w:p>
        </w:tc>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Applicability of Article</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04"/>
        </w:trPr>
        <w:tc>
          <w:tcPr>
            <w:tcW w:w="1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11.2</w:t>
            </w:r>
          </w:p>
        </w:tc>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Satisfaction of Sinking Fund Payments with Securities</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19"/>
        </w:trPr>
        <w:tc>
          <w:tcPr>
            <w:tcW w:w="1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11.3</w:t>
            </w:r>
          </w:p>
        </w:tc>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Redemption of Securities for Sinking Fund</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bl>
    <w:p>
      <w:pPr>
        <w:spacing w:after="0" w:line="1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7"/>
          <w:szCs w:val="17"/>
          <w:color w:val="auto"/>
        </w:rPr>
        <w:t>iv</w:t>
      </w:r>
    </w:p>
    <w:p>
      <w:pPr>
        <w:sectPr>
          <w:pgSz w:w="11900" w:h="16838" w:orient="portrait"/>
          <w:cols w:equalWidth="0" w:num="1">
            <w:col w:w="10340"/>
          </w:cols>
          <w:pgMar w:left="740" w:top="263" w:right="819" w:bottom="1440" w:gutter="0" w:footer="0" w:header="0"/>
        </w:sectPr>
      </w:pPr>
    </w:p>
    <w:bookmarkStart w:id="121" w:name="page122"/>
    <w:bookmarkEnd w:id="121"/>
    <w:p>
      <w:pPr>
        <w:jc w:val="center"/>
        <w:ind w:right="1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9">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T2 BIOSYSTEMS, INC.</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Reconciliation and tie between Trust Indenture Act of 1939 and</w:t>
      </w:r>
    </w:p>
    <w:p>
      <w:pPr>
        <w:spacing w:after="0" w:line="3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7"/>
          <w:szCs w:val="17"/>
          <w:color w:val="auto"/>
        </w:rPr>
        <w:t>Indenture, dated as of ______________, 20_____</w:t>
      </w:r>
    </w:p>
    <w:p>
      <w:pPr>
        <w:sectPr>
          <w:pgSz w:w="11900" w:h="16838" w:orient="portrait"/>
          <w:cols w:equalWidth="0" w:num="1">
            <w:col w:w="9019"/>
          </w:cols>
          <w:pgMar w:left="1440" w:top="263" w:right="1440" w:bottom="1440" w:gutter="0" w:footer="0" w:header="0"/>
        </w:sectPr>
      </w:pPr>
    </w:p>
    <w:bookmarkStart w:id="122" w:name="page123"/>
    <w:bookmarkEnd w:id="122"/>
    <w:p>
      <w:pPr>
        <w:ind w:left="4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0">
                      <a:extLst>
                        <a:ext uri="{28A0092B-C50C-407E-A947-70E740481C1C}"/>
                      </a:extLst>
                    </a:blip>
                    <a:srcRect/>
                    <a:stretch>
                      <a:fillRect/>
                    </a:stretch>
                  </pic:blipFill>
                  <pic:spPr bwMode="auto">
                    <a:xfrm>
                      <a:off x="0" y="0"/>
                      <a:ext cx="7181850" cy="36830"/>
                    </a:xfrm>
                    <a:prstGeom prst="rect">
                      <a:avLst/>
                    </a:prstGeom>
                    <a:noFill/>
                  </pic:spPr>
                </pic:pic>
              </a:graphicData>
            </a:graphic>
          </wp:anchor>
        </w:drawing>
        <w:t>Indenture dated as of _____________, 20____ between T2 Biosystems, Inc., a company incorporated under the laws of Delaware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[__________] (“</w:t>
      </w:r>
      <w:r>
        <w:rPr>
          <w:rFonts w:ascii="Times New Roman" w:cs="Times New Roman" w:eastAsia="Times New Roman" w:hAnsi="Times New Roman"/>
          <w:sz w:val="17"/>
          <w:szCs w:val="17"/>
          <w:i w:val="1"/>
          <w:iCs w:val="1"/>
          <w:color w:val="auto"/>
        </w:rPr>
        <w:t>Trustee</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ind w:right="180" w:firstLine="416"/>
        <w:spacing w:after="0" w:line="279" w:lineRule="auto"/>
        <w:rPr>
          <w:sz w:val="20"/>
          <w:szCs w:val="20"/>
          <w:color w:val="auto"/>
        </w:rPr>
      </w:pPr>
      <w:r>
        <w:rPr>
          <w:rFonts w:ascii="Times New Roman" w:cs="Times New Roman" w:eastAsia="Times New Roman" w:hAnsi="Times New Roman"/>
          <w:sz w:val="17"/>
          <w:szCs w:val="17"/>
          <w:color w:val="auto"/>
        </w:rPr>
        <w:t>Each party agrees as follows for the benefit of the other party and for the equal and ratable benefit of the Holders of the Securities issued under this Indenture.</w:t>
      </w:r>
    </w:p>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ARTICLE I.</w:t>
      </w:r>
    </w:p>
    <w:p>
      <w:pPr>
        <w:spacing w:after="0" w:line="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DEFINITIONS AND INCORPORATION BY REFERENCE</w:t>
      </w:r>
    </w:p>
    <w:p>
      <w:pPr>
        <w:spacing w:after="0" w:line="1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1.1 </w:t>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w:t>
      </w:r>
    </w:p>
    <w:p>
      <w:pPr>
        <w:spacing w:after="0" w:line="208" w:lineRule="exact"/>
        <w:rPr>
          <w:sz w:val="20"/>
          <w:szCs w:val="20"/>
          <w:color w:val="auto"/>
        </w:rPr>
      </w:pPr>
    </w:p>
    <w:p>
      <w:pPr>
        <w:ind w:right="240" w:firstLine="416"/>
        <w:spacing w:after="0" w:line="31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Additional Amounts</w:t>
      </w:r>
      <w:r>
        <w:rPr>
          <w:rFonts w:ascii="Times New Roman" w:cs="Times New Roman" w:eastAsia="Times New Roman" w:hAnsi="Times New Roman"/>
          <w:sz w:val="16"/>
          <w:szCs w:val="16"/>
          <w:color w:val="auto"/>
        </w:rPr>
        <w:t>” means any additional amounts which are required hereby or by any Security, under circumstances specified herein or therein, to be paid by the Company in respect of certain taxes imposed on Holders specified herein or therein and which are owing to such Holders.]</w:t>
      </w:r>
    </w:p>
    <w:p>
      <w:pPr>
        <w:spacing w:after="0" w:line="127" w:lineRule="exact"/>
        <w:rPr>
          <w:sz w:val="20"/>
          <w:szCs w:val="20"/>
          <w:color w:val="auto"/>
        </w:rPr>
      </w:pPr>
    </w:p>
    <w:p>
      <w:pPr>
        <w:ind w:right="100" w:firstLine="416"/>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Affiliate</w:t>
      </w:r>
      <w:r>
        <w:rPr>
          <w:rFonts w:ascii="Times New Roman" w:cs="Times New Roman" w:eastAsia="Times New Roman" w:hAnsi="Times New Roman"/>
          <w:sz w:val="17"/>
          <w:szCs w:val="17"/>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Agent</w:t>
      </w:r>
      <w:r>
        <w:rPr>
          <w:rFonts w:ascii="Times New Roman" w:cs="Times New Roman" w:eastAsia="Times New Roman" w:hAnsi="Times New Roman"/>
          <w:sz w:val="17"/>
          <w:szCs w:val="17"/>
          <w:color w:val="auto"/>
        </w:rPr>
        <w:t>” means any Registrar, Paying Agent or Notice Agent.</w:t>
      </w: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Board of Directors</w:t>
      </w:r>
      <w:r>
        <w:rPr>
          <w:rFonts w:ascii="Times New Roman" w:cs="Times New Roman" w:eastAsia="Times New Roman" w:hAnsi="Times New Roman"/>
          <w:sz w:val="17"/>
          <w:szCs w:val="17"/>
          <w:color w:val="auto"/>
        </w:rPr>
        <w:t>” means the board of directors of the Company or any duly authorized committee thereof.</w:t>
      </w:r>
    </w:p>
    <w:p>
      <w:pPr>
        <w:spacing w:after="0" w:line="212" w:lineRule="exact"/>
        <w:rPr>
          <w:sz w:val="20"/>
          <w:szCs w:val="20"/>
          <w:color w:val="auto"/>
        </w:rPr>
      </w:pPr>
    </w:p>
    <w:p>
      <w:pPr>
        <w:jc w:val="both"/>
        <w:ind w:firstLine="416"/>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Board Resolution</w:t>
      </w:r>
      <w:r>
        <w:rPr>
          <w:rFonts w:ascii="Times New Roman" w:cs="Times New Roman" w:eastAsia="Times New Roman" w:hAnsi="Times New Roman"/>
          <w:sz w:val="17"/>
          <w:szCs w:val="17"/>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63" w:lineRule="exact"/>
        <w:rPr>
          <w:sz w:val="20"/>
          <w:szCs w:val="20"/>
          <w:color w:val="auto"/>
        </w:rPr>
      </w:pPr>
    </w:p>
    <w:p>
      <w:pPr>
        <w:ind w:right="360" w:firstLine="416"/>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Business Day</w:t>
      </w:r>
      <w:r>
        <w:rPr>
          <w:rFonts w:ascii="Times New Roman" w:cs="Times New Roman" w:eastAsia="Times New Roman" w:hAnsi="Times New Roman"/>
          <w:sz w:val="17"/>
          <w:szCs w:val="17"/>
          <w:color w:val="auto"/>
        </w:rPr>
        <w:t>” means any day except a Saturday, Sunday or a legal holiday in The City of New York, New York (or in connection with any payment, the place of payment) on which banking institutions are authorized or required by law, regulation or executive order to close.</w:t>
      </w:r>
    </w:p>
    <w:p>
      <w:pPr>
        <w:spacing w:after="0" w:line="1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Capital Stock</w:t>
      </w:r>
      <w:r>
        <w:rPr>
          <w:rFonts w:ascii="Times New Roman" w:cs="Times New Roman" w:eastAsia="Times New Roman" w:hAnsi="Times New Roman"/>
          <w:sz w:val="17"/>
          <w:szCs w:val="17"/>
          <w:color w:val="auto"/>
        </w:rPr>
        <w:t>” means any and all shares, interests, participations, rights or other equivalents (however designated) of corporate stock.</w:t>
      </w: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means the party named as such above until a successor replaces it and thereafter means the successor.</w:t>
      </w: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Company Order</w:t>
      </w:r>
      <w:r>
        <w:rPr>
          <w:rFonts w:ascii="Times New Roman" w:cs="Times New Roman" w:eastAsia="Times New Roman" w:hAnsi="Times New Roman"/>
          <w:sz w:val="17"/>
          <w:szCs w:val="17"/>
          <w:color w:val="auto"/>
        </w:rPr>
        <w:t>” means a written order signed in the name of the Company by an Officer.</w:t>
      </w:r>
    </w:p>
    <w:p>
      <w:pPr>
        <w:sectPr>
          <w:pgSz w:w="11900" w:h="16838" w:orient="portrait"/>
          <w:cols w:equalWidth="0" w:num="1">
            <w:col w:w="10320"/>
          </w:cols>
          <w:pgMar w:left="740" w:top="259" w:right="839" w:bottom="1440" w:gutter="0" w:footer="0" w:header="0"/>
        </w:sectPr>
      </w:pPr>
    </w:p>
    <w:bookmarkStart w:id="123" w:name="page124"/>
    <w:bookmarkEnd w:id="123"/>
    <w:p>
      <w:pPr>
        <w:ind w:right="120" w:firstLine="416"/>
        <w:spacing w:after="0" w:line="28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1">
                      <a:extLst>
                        <a:ext uri="{28A0092B-C50C-407E-A947-70E740481C1C}"/>
                      </a:extLst>
                    </a:blip>
                    <a:srcRect/>
                    <a:stretch>
                      <a:fillRect/>
                    </a:stretch>
                  </pic:blipFill>
                  <pic:spPr bwMode="auto">
                    <a:xfrm>
                      <a:off x="0" y="0"/>
                      <a:ext cx="7181850" cy="36830"/>
                    </a:xfrm>
                    <a:prstGeom prst="rect">
                      <a:avLst/>
                    </a:prstGeom>
                    <a:noFill/>
                  </pic:spPr>
                </pic:pic>
              </a:graphicData>
            </a:graphic>
          </wp:anchor>
        </w:drawing>
        <w:t>“</w:t>
      </w:r>
      <w:r>
        <w:rPr>
          <w:rFonts w:ascii="Times New Roman" w:cs="Times New Roman" w:eastAsia="Times New Roman" w:hAnsi="Times New Roman"/>
          <w:sz w:val="17"/>
          <w:szCs w:val="17"/>
          <w:i w:val="1"/>
          <w:iCs w:val="1"/>
          <w:color w:val="auto"/>
        </w:rPr>
        <w:t>Corporate Trust Office</w:t>
      </w:r>
      <w:r>
        <w:rPr>
          <w:rFonts w:ascii="Times New Roman" w:cs="Times New Roman" w:eastAsia="Times New Roman" w:hAnsi="Times New Roman"/>
          <w:sz w:val="17"/>
          <w:szCs w:val="17"/>
          <w:color w:val="auto"/>
        </w:rPr>
        <w:t>” means the office of the Trustee at which at any particular time its corporate trust business related to this Indenture shall be principally administered.</w:t>
      </w:r>
    </w:p>
    <w:p>
      <w:pPr>
        <w:spacing w:after="0" w:line="1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Default</w:t>
      </w:r>
      <w:r>
        <w:rPr>
          <w:rFonts w:ascii="Times New Roman" w:cs="Times New Roman" w:eastAsia="Times New Roman" w:hAnsi="Times New Roman"/>
          <w:sz w:val="17"/>
          <w:szCs w:val="17"/>
          <w:color w:val="auto"/>
        </w:rPr>
        <w:t>” means any event which is, or after notice or passage of time or both would be, an Event of Default.</w:t>
      </w:r>
    </w:p>
    <w:p>
      <w:pPr>
        <w:spacing w:after="0" w:line="212" w:lineRule="exact"/>
        <w:rPr>
          <w:sz w:val="20"/>
          <w:szCs w:val="20"/>
          <w:color w:val="auto"/>
        </w:rPr>
      </w:pPr>
    </w:p>
    <w:p>
      <w:pPr>
        <w:ind w:right="260" w:firstLine="416"/>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Depositary</w:t>
      </w:r>
      <w:r>
        <w:rPr>
          <w:rFonts w:ascii="Times New Roman" w:cs="Times New Roman" w:eastAsia="Times New Roman" w:hAnsi="Times New Roman"/>
          <w:sz w:val="17"/>
          <w:szCs w:val="17"/>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68" w:lineRule="exact"/>
        <w:rPr>
          <w:sz w:val="20"/>
          <w:szCs w:val="20"/>
          <w:color w:val="auto"/>
        </w:rPr>
      </w:pPr>
    </w:p>
    <w:p>
      <w:pPr>
        <w:ind w:right="360" w:firstLine="416"/>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Discount Security</w:t>
      </w:r>
      <w:r>
        <w:rPr>
          <w:rFonts w:ascii="Times New Roman" w:cs="Times New Roman" w:eastAsia="Times New Roman" w:hAnsi="Times New Roman"/>
          <w:sz w:val="17"/>
          <w:szCs w:val="17"/>
          <w:color w:val="auto"/>
        </w:rPr>
        <w:t>” means any Security that provides for an amount less than the stated principal amount thereof to be due and payable upon declaration of acceleration of the maturity thereof pursuant to Section 6.2.</w:t>
      </w:r>
    </w:p>
    <w:p>
      <w:pPr>
        <w:spacing w:after="0" w:line="1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Dollars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means the currency of The United States of America.</w:t>
      </w: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Exchange Act</w:t>
      </w:r>
      <w:r>
        <w:rPr>
          <w:rFonts w:ascii="Times New Roman" w:cs="Times New Roman" w:eastAsia="Times New Roman" w:hAnsi="Times New Roman"/>
          <w:sz w:val="17"/>
          <w:szCs w:val="17"/>
          <w:color w:val="auto"/>
        </w:rPr>
        <w:t>” means the Securities Exchange Act of 1934, as amended.</w:t>
      </w: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Foreign Currency</w:t>
      </w:r>
      <w:r>
        <w:rPr>
          <w:rFonts w:ascii="Times New Roman" w:cs="Times New Roman" w:eastAsia="Times New Roman" w:hAnsi="Times New Roman"/>
          <w:sz w:val="17"/>
          <w:szCs w:val="17"/>
          <w:color w:val="auto"/>
        </w:rPr>
        <w:t>” means any currency or currency unit issued by a government other than the government of The United States of America.</w:t>
      </w:r>
    </w:p>
    <w:p>
      <w:pPr>
        <w:spacing w:after="0" w:line="212" w:lineRule="exact"/>
        <w:rPr>
          <w:sz w:val="20"/>
          <w:szCs w:val="20"/>
          <w:color w:val="auto"/>
        </w:rPr>
      </w:pPr>
    </w:p>
    <w:p>
      <w:pPr>
        <w:jc w:val="both"/>
        <w:ind w:right="80" w:firstLine="416"/>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Foreign Government Obligations</w:t>
      </w:r>
      <w:r>
        <w:rPr>
          <w:rFonts w:ascii="Times New Roman" w:cs="Times New Roman" w:eastAsia="Times New Roman" w:hAnsi="Times New Roman"/>
          <w:sz w:val="17"/>
          <w:szCs w:val="17"/>
          <w:color w:val="auto"/>
        </w:rPr>
        <w:t>” 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w:t>
      </w:r>
    </w:p>
    <w:p>
      <w:pPr>
        <w:spacing w:after="0" w:line="163" w:lineRule="exact"/>
        <w:rPr>
          <w:sz w:val="20"/>
          <w:szCs w:val="20"/>
          <w:color w:val="auto"/>
        </w:rPr>
      </w:pPr>
    </w:p>
    <w:p>
      <w:pPr>
        <w:ind w:firstLine="416"/>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“GAAP” </w:t>
      </w:r>
      <w:r>
        <w:rPr>
          <w:rFonts w:ascii="Times New Roman" w:cs="Times New Roman" w:eastAsia="Times New Roman" w:hAnsi="Times New Roman"/>
          <w:sz w:val="17"/>
          <w:szCs w:val="17"/>
          <w:color w:val="auto"/>
        </w:rPr>
        <w:t>means accounting principles generally accepted in the United States of America set forth in the opinions and pronouncements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68" w:lineRule="exact"/>
        <w:rPr>
          <w:sz w:val="20"/>
          <w:szCs w:val="20"/>
          <w:color w:val="auto"/>
        </w:rPr>
      </w:pPr>
    </w:p>
    <w:p>
      <w:pPr>
        <w:ind w:right="100" w:firstLine="416"/>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Global Security</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i w:val="1"/>
          <w:iCs w:val="1"/>
          <w:color w:val="auto"/>
        </w:rPr>
        <w:t>Global Securities</w:t>
      </w:r>
      <w:r>
        <w:rPr>
          <w:rFonts w:ascii="Times New Roman" w:cs="Times New Roman" w:eastAsia="Times New Roman" w:hAnsi="Times New Roman"/>
          <w:sz w:val="17"/>
          <w:szCs w:val="17"/>
          <w:color w:val="auto"/>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Holder</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i w:val="1"/>
          <w:iCs w:val="1"/>
          <w:color w:val="auto"/>
        </w:rPr>
        <w:t>Securityholder</w:t>
      </w:r>
      <w:r>
        <w:rPr>
          <w:rFonts w:ascii="Times New Roman" w:cs="Times New Roman" w:eastAsia="Times New Roman" w:hAnsi="Times New Roman"/>
          <w:sz w:val="17"/>
          <w:szCs w:val="17"/>
          <w:color w:val="auto"/>
        </w:rPr>
        <w:t>” means a person in whose name a Security is registered.</w:t>
      </w:r>
    </w:p>
    <w:p>
      <w:pPr>
        <w:spacing w:after="0" w:line="212" w:lineRule="exact"/>
        <w:rPr>
          <w:sz w:val="20"/>
          <w:szCs w:val="20"/>
          <w:color w:val="auto"/>
        </w:rPr>
      </w:pPr>
    </w:p>
    <w:p>
      <w:pPr>
        <w:ind w:right="420" w:firstLine="416"/>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Indenture</w:t>
      </w:r>
      <w:r>
        <w:rPr>
          <w:rFonts w:ascii="Times New Roman" w:cs="Times New Roman" w:eastAsia="Times New Roman" w:hAnsi="Times New Roman"/>
          <w:sz w:val="17"/>
          <w:szCs w:val="17"/>
          <w:color w:val="auto"/>
        </w:rPr>
        <w:t>” means this Indenture as amended or supplemented from time to time and shall include the form and terms of particular Series of Securities established as contemplated hereunder.</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380"/>
          </w:cols>
          <w:pgMar w:left="740" w:top="259" w:right="779" w:bottom="1440" w:gutter="0" w:footer="0" w:header="0"/>
        </w:sectPr>
      </w:pPr>
    </w:p>
    <w:bookmarkStart w:id="124" w:name="page125"/>
    <w:bookmarkEnd w:id="124"/>
    <w:p>
      <w:pPr>
        <w:ind w:left="4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2">
                      <a:extLst>
                        <a:ext uri="{28A0092B-C50C-407E-A947-70E740481C1C}"/>
                      </a:extLst>
                    </a:blip>
                    <a:srcRect/>
                    <a:stretch>
                      <a:fillRect/>
                    </a:stretch>
                  </pic:blipFill>
                  <pic:spPr bwMode="auto">
                    <a:xfrm>
                      <a:off x="0" y="0"/>
                      <a:ext cx="7181850" cy="36830"/>
                    </a:xfrm>
                    <a:prstGeom prst="rect">
                      <a:avLst/>
                    </a:prstGeom>
                    <a:noFill/>
                  </pic:spPr>
                </pic:pic>
              </a:graphicData>
            </a:graphic>
          </wp:anchor>
        </w:drawing>
        <w:t>“</w:t>
      </w:r>
      <w:r>
        <w:rPr>
          <w:rFonts w:ascii="Times New Roman" w:cs="Times New Roman" w:eastAsia="Times New Roman" w:hAnsi="Times New Roman"/>
          <w:sz w:val="17"/>
          <w:szCs w:val="17"/>
          <w:i w:val="1"/>
          <w:iCs w:val="1"/>
          <w:color w:val="auto"/>
        </w:rPr>
        <w:t>interest</w:t>
      </w:r>
      <w:r>
        <w:rPr>
          <w:rFonts w:ascii="Times New Roman" w:cs="Times New Roman" w:eastAsia="Times New Roman" w:hAnsi="Times New Roman"/>
          <w:sz w:val="17"/>
          <w:szCs w:val="17"/>
          <w:color w:val="auto"/>
        </w:rPr>
        <w:t>” with respect to any Discount Security which by its terms bears interest only after Maturity, means interest payable after Maturity.</w:t>
      </w:r>
    </w:p>
    <w:p>
      <w:pPr>
        <w:spacing w:after="0" w:line="212" w:lineRule="exact"/>
        <w:rPr>
          <w:sz w:val="20"/>
          <w:szCs w:val="20"/>
          <w:color w:val="auto"/>
        </w:rPr>
      </w:pPr>
    </w:p>
    <w:p>
      <w:pPr>
        <w:ind w:right="20" w:firstLine="416"/>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Maturity</w:t>
      </w:r>
      <w:r>
        <w:rPr>
          <w:rFonts w:ascii="Times New Roman" w:cs="Times New Roman" w:eastAsia="Times New Roman" w:hAnsi="Times New Roman"/>
          <w:sz w:val="17"/>
          <w:szCs w:val="17"/>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49" w:lineRule="exact"/>
        <w:rPr>
          <w:sz w:val="20"/>
          <w:szCs w:val="20"/>
          <w:color w:val="auto"/>
        </w:rPr>
      </w:pPr>
    </w:p>
    <w:p>
      <w:pPr>
        <w:ind w:right="20" w:firstLine="416"/>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Officer</w:t>
      </w:r>
      <w:r>
        <w:rPr>
          <w:rFonts w:ascii="Times New Roman" w:cs="Times New Roman" w:eastAsia="Times New Roman" w:hAnsi="Times New Roman"/>
          <w:sz w:val="17"/>
          <w:szCs w:val="17"/>
          <w:color w:val="auto"/>
        </w:rPr>
        <w:t>” means the Chief Executive Officer, President, the Chief Financial Officer, General Counsel, the Treasurer or any Assistant Treasurer, the Secretary or any Assistant Secretary, and any Vice President of the Company.</w:t>
      </w:r>
    </w:p>
    <w:p>
      <w:pPr>
        <w:spacing w:after="0" w:line="1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Officer’s Certificate</w:t>
      </w:r>
      <w:r>
        <w:rPr>
          <w:rFonts w:ascii="Times New Roman" w:cs="Times New Roman" w:eastAsia="Times New Roman" w:hAnsi="Times New Roman"/>
          <w:sz w:val="17"/>
          <w:szCs w:val="17"/>
          <w:color w:val="auto"/>
        </w:rPr>
        <w:t>” means a certificate signed by any Officer.</w:t>
      </w:r>
    </w:p>
    <w:p>
      <w:pPr>
        <w:spacing w:after="0" w:line="212" w:lineRule="exact"/>
        <w:rPr>
          <w:sz w:val="20"/>
          <w:szCs w:val="20"/>
          <w:color w:val="auto"/>
        </w:rPr>
      </w:pPr>
    </w:p>
    <w:p>
      <w:pPr>
        <w:ind w:firstLine="416"/>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Opinion of Counsel</w:t>
      </w:r>
      <w:r>
        <w:rPr>
          <w:rFonts w:ascii="Times New Roman" w:cs="Times New Roman" w:eastAsia="Times New Roman" w:hAnsi="Times New Roman"/>
          <w:sz w:val="17"/>
          <w:szCs w:val="17"/>
          <w:color w:val="auto"/>
        </w:rPr>
        <w:t>” means a written opinion of legal counsel who is acceptable to the Trustee. The counsel may be an employee of or counsel to the Company. The opinion may contain customary limitations, conditions and exceptions.</w:t>
      </w:r>
    </w:p>
    <w:p>
      <w:pPr>
        <w:spacing w:after="0" w:line="149" w:lineRule="exact"/>
        <w:rPr>
          <w:sz w:val="20"/>
          <w:szCs w:val="20"/>
          <w:color w:val="auto"/>
        </w:rPr>
      </w:pPr>
    </w:p>
    <w:p>
      <w:pPr>
        <w:ind w:right="660" w:firstLine="416"/>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person</w:t>
      </w:r>
      <w:r>
        <w:rPr>
          <w:rFonts w:ascii="Times New Roman" w:cs="Times New Roman" w:eastAsia="Times New Roman" w:hAnsi="Times New Roman"/>
          <w:sz w:val="17"/>
          <w:szCs w:val="17"/>
          <w:color w:val="auto"/>
        </w:rPr>
        <w:t>” means any individual, corporation, partnership, joint venture, association, limited liability company, joint-stock company, trust, unincorporated organization or government or any agency or political subdivision thereof.</w:t>
      </w:r>
    </w:p>
    <w:p>
      <w:pPr>
        <w:spacing w:after="0" w:line="149" w:lineRule="exact"/>
        <w:rPr>
          <w:sz w:val="20"/>
          <w:szCs w:val="20"/>
          <w:color w:val="auto"/>
        </w:rPr>
      </w:pPr>
    </w:p>
    <w:p>
      <w:pPr>
        <w:ind w:right="320" w:firstLine="416"/>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w:t>
      </w:r>
      <w:r>
        <w:rPr>
          <w:rFonts w:ascii="Times New Roman" w:cs="Times New Roman" w:eastAsia="Times New Roman" w:hAnsi="Times New Roman"/>
          <w:sz w:val="17"/>
          <w:szCs w:val="17"/>
          <w:color w:val="auto"/>
        </w:rPr>
        <w:t>” of a Security means the principal of the Security plus, when appropriate, the premium, if any, on, [and any Additional Amounts in respect of,] the Security.</w:t>
      </w:r>
    </w:p>
    <w:p>
      <w:pPr>
        <w:spacing w:after="0" w:line="149" w:lineRule="exact"/>
        <w:rPr>
          <w:sz w:val="20"/>
          <w:szCs w:val="20"/>
          <w:color w:val="auto"/>
        </w:rPr>
      </w:pPr>
    </w:p>
    <w:p>
      <w:pPr>
        <w:ind w:right="80" w:firstLine="416"/>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Responsible Officer</w:t>
      </w:r>
      <w:r>
        <w:rPr>
          <w:rFonts w:ascii="Times New Roman" w:cs="Times New Roman" w:eastAsia="Times New Roman" w:hAnsi="Times New Roman"/>
          <w:sz w:val="17"/>
          <w:szCs w:val="17"/>
          <w:color w:val="auto"/>
        </w:rPr>
        <w:t>” means any officer of the Trustee in its Corporate Trust Office having responsibility for administration of this Indenture and also means, with respect to a particular corporate trust matter, any other officer to whom any corporate trust matter is referred because of his or her knowledge of and familiarity with a particular subject.</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SEC</w:t>
      </w:r>
      <w:r>
        <w:rPr>
          <w:rFonts w:ascii="Times New Roman" w:cs="Times New Roman" w:eastAsia="Times New Roman" w:hAnsi="Times New Roman"/>
          <w:sz w:val="17"/>
          <w:szCs w:val="17"/>
          <w:color w:val="auto"/>
        </w:rPr>
        <w:t>” means the Securities and Exchange Commission.</w:t>
      </w: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Securities</w:t>
      </w:r>
      <w:r>
        <w:rPr>
          <w:rFonts w:ascii="Times New Roman" w:cs="Times New Roman" w:eastAsia="Times New Roman" w:hAnsi="Times New Roman"/>
          <w:sz w:val="17"/>
          <w:szCs w:val="17"/>
          <w:color w:val="auto"/>
        </w:rPr>
        <w:t>” means the debentures, notes or other debt instruments of the Company of any Series authenticated and delivered under this Indenture.</w:t>
      </w:r>
    </w:p>
    <w:p>
      <w:pPr>
        <w:spacing w:after="0" w:line="212" w:lineRule="exact"/>
        <w:rPr>
          <w:sz w:val="20"/>
          <w:szCs w:val="20"/>
          <w:color w:val="auto"/>
        </w:rPr>
      </w:pPr>
    </w:p>
    <w:p>
      <w:pPr>
        <w:ind w:right="220" w:firstLine="416"/>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Series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i w:val="1"/>
          <w:iCs w:val="1"/>
          <w:color w:val="auto"/>
        </w:rPr>
        <w:t>Series of Securities</w:t>
      </w:r>
      <w:r>
        <w:rPr>
          <w:rFonts w:ascii="Times New Roman" w:cs="Times New Roman" w:eastAsia="Times New Roman" w:hAnsi="Times New Roman"/>
          <w:sz w:val="17"/>
          <w:szCs w:val="17"/>
          <w:color w:val="auto"/>
        </w:rPr>
        <w:t>” means each series of debentures, notes or other debt instruments of the Company created pursuant to Sections 2.1 and 2.2 hereof.</w:t>
      </w:r>
    </w:p>
    <w:p>
      <w:pPr>
        <w:spacing w:after="0" w:line="149" w:lineRule="exact"/>
        <w:rPr>
          <w:sz w:val="20"/>
          <w:szCs w:val="20"/>
          <w:color w:val="auto"/>
        </w:rPr>
      </w:pPr>
    </w:p>
    <w:p>
      <w:pPr>
        <w:ind w:right="280" w:firstLine="416"/>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Stated Maturity</w:t>
      </w:r>
      <w:r>
        <w:rPr>
          <w:rFonts w:ascii="Times New Roman" w:cs="Times New Roman" w:eastAsia="Times New Roman" w:hAnsi="Times New Roman"/>
          <w:sz w:val="17"/>
          <w:szCs w:val="17"/>
          <w:color w:val="auto"/>
        </w:rPr>
        <w:t>” when used with respect to any Security, means the date specified in such Security as the fixed date on which the principal of such Security or interest is due and payable.</w:t>
      </w:r>
    </w:p>
    <w:p>
      <w:pPr>
        <w:spacing w:after="0" w:line="149" w:lineRule="exact"/>
        <w:rPr>
          <w:sz w:val="20"/>
          <w:szCs w:val="20"/>
          <w:color w:val="auto"/>
        </w:rPr>
      </w:pPr>
    </w:p>
    <w:p>
      <w:pPr>
        <w:ind w:right="80" w:firstLine="416"/>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Subsidiary</w:t>
      </w:r>
      <w:r>
        <w:rPr>
          <w:rFonts w:ascii="Times New Roman" w:cs="Times New Roman" w:eastAsia="Times New Roman" w:hAnsi="Times New Roman"/>
          <w:sz w:val="17"/>
          <w:szCs w:val="17"/>
          <w:color w:val="auto"/>
        </w:rPr>
        <w:t>”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380"/>
          </w:cols>
          <w:pgMar w:left="740" w:top="259" w:right="779" w:bottom="1440" w:gutter="0" w:footer="0" w:header="0"/>
        </w:sectPr>
      </w:pPr>
    </w:p>
    <w:bookmarkStart w:id="125" w:name="page126"/>
    <w:bookmarkEnd w:id="125"/>
    <w:p>
      <w:pPr>
        <w:ind w:firstLine="416"/>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3">
                      <a:extLst>
                        <a:ext uri="{28A0092B-C50C-407E-A947-70E740481C1C}"/>
                      </a:extLst>
                    </a:blip>
                    <a:srcRect/>
                    <a:stretch>
                      <a:fillRect/>
                    </a:stretch>
                  </pic:blipFill>
                  <pic:spPr bwMode="auto">
                    <a:xfrm>
                      <a:off x="0" y="0"/>
                      <a:ext cx="7181850" cy="36830"/>
                    </a:xfrm>
                    <a:prstGeom prst="rect">
                      <a:avLst/>
                    </a:prstGeom>
                    <a:noFill/>
                  </pic:spPr>
                </pic:pic>
              </a:graphicData>
            </a:graphic>
          </wp:anchor>
        </w:drawing>
        <w:t>“</w:t>
      </w:r>
      <w:r>
        <w:rPr>
          <w:rFonts w:ascii="Times New Roman" w:cs="Times New Roman" w:eastAsia="Times New Roman" w:hAnsi="Times New Roman"/>
          <w:sz w:val="17"/>
          <w:szCs w:val="17"/>
          <w:i w:val="1"/>
          <w:iCs w:val="1"/>
          <w:color w:val="auto"/>
        </w:rPr>
        <w:t>TIA</w:t>
      </w:r>
      <w:r>
        <w:rPr>
          <w:rFonts w:ascii="Times New Roman" w:cs="Times New Roman" w:eastAsia="Times New Roman" w:hAnsi="Times New Roman"/>
          <w:sz w:val="17"/>
          <w:szCs w:val="17"/>
          <w:color w:val="auto"/>
        </w:rPr>
        <w:t>” means the Trust Indenture Act of 1939 (15 U.S. Code §§ 77aaa-77bbbb) as in effect on the date of this Indenture; provided, however, that in the event the Trust Indenture Act of 1939 is amended after such date, “TIA” means, to the extent required by any such amendment, the Trust Indenture Act as so amended.</w:t>
      </w:r>
    </w:p>
    <w:p>
      <w:pPr>
        <w:spacing w:after="0" w:line="163" w:lineRule="exact"/>
        <w:rPr>
          <w:sz w:val="20"/>
          <w:szCs w:val="20"/>
          <w:color w:val="auto"/>
        </w:rPr>
      </w:pPr>
    </w:p>
    <w:p>
      <w:pPr>
        <w:ind w:right="120" w:firstLine="416"/>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Trustee</w:t>
      </w:r>
      <w:r>
        <w:rPr>
          <w:rFonts w:ascii="Times New Roman" w:cs="Times New Roman" w:eastAsia="Times New Roman" w:hAnsi="Times New Roman"/>
          <w:sz w:val="17"/>
          <w:szCs w:val="17"/>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68" w:lineRule="exact"/>
        <w:rPr>
          <w:sz w:val="20"/>
          <w:szCs w:val="20"/>
          <w:color w:val="auto"/>
        </w:rPr>
      </w:pPr>
    </w:p>
    <w:p>
      <w:pPr>
        <w:ind w:right="20" w:firstLine="416"/>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U.S. Government Obligations</w:t>
      </w:r>
      <w:r>
        <w:rPr>
          <w:rFonts w:ascii="Times New Roman" w:cs="Times New Roman" w:eastAsia="Times New Roman" w:hAnsi="Times New Roman"/>
          <w:sz w:val="17"/>
          <w:szCs w:val="17"/>
          <w:color w:val="auto"/>
        </w:rPr>
        <w:t xml:space="preserve">” means securities which are direct obligations of, or guaranteed by, The United States of America for the payment of which its full faith and credit is pledged and which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depository receipt,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(except as required by law) such custodian is not authorized to make any deduction from the amount payable to the holder of such depositary receipt from any amount received by the custodian in respect of the U.S. Government Obligation evidenced by such depositary receipt.</w:t>
      </w:r>
    </w:p>
    <w:p>
      <w:pPr>
        <w:spacing w:after="0" w:line="1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1.2 </w:t>
      </w:r>
      <w:r>
        <w:rPr>
          <w:rFonts w:ascii="Times New Roman" w:cs="Times New Roman" w:eastAsia="Times New Roman" w:hAnsi="Times New Roman"/>
          <w:sz w:val="17"/>
          <w:szCs w:val="17"/>
          <w:u w:val="single" w:color="auto"/>
          <w:color w:val="auto"/>
        </w:rPr>
        <w:t>Other Definitions</w:t>
      </w:r>
      <w:r>
        <w:rPr>
          <w:rFonts w:ascii="Times New Roman" w:cs="Times New Roman" w:eastAsia="Times New Roman" w:hAnsi="Times New Roman"/>
          <w:sz w:val="17"/>
          <w:szCs w:val="17"/>
          <w:color w:val="auto"/>
        </w:rPr>
        <w:t>.</w:t>
      </w:r>
    </w:p>
    <w:p>
      <w:pPr>
        <w:spacing w:after="0" w:line="213"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2"/>
              </w:rPr>
              <w:t>TERM</w:t>
            </w:r>
          </w:p>
        </w:tc>
        <w:tc>
          <w:tcPr>
            <w:tcW w:w="2540" w:type="dxa"/>
            <w:vAlign w:val="bottom"/>
            <w:vMerge w:val="restart"/>
          </w:tcPr>
          <w:p>
            <w:pPr>
              <w:spacing w:after="0"/>
              <w:rPr>
                <w:sz w:val="13"/>
                <w:szCs w:val="13"/>
                <w:color w:val="auto"/>
              </w:rPr>
            </w:pPr>
          </w:p>
        </w:tc>
        <w:tc>
          <w:tcPr>
            <w:tcW w:w="4140" w:type="dxa"/>
            <w:vAlign w:val="bottom"/>
            <w:gridSpan w:val="3"/>
          </w:tcPr>
          <w:p>
            <w:pPr>
              <w:jc w:val="center"/>
              <w:ind w:left="3176"/>
              <w:spacing w:after="0"/>
              <w:rPr>
                <w:sz w:val="20"/>
                <w:szCs w:val="20"/>
                <w:color w:val="auto"/>
              </w:rPr>
            </w:pPr>
            <w:r>
              <w:rPr>
                <w:rFonts w:ascii="Times New Roman" w:cs="Times New Roman" w:eastAsia="Times New Roman" w:hAnsi="Times New Roman"/>
                <w:sz w:val="14"/>
                <w:szCs w:val="14"/>
                <w:color w:val="auto"/>
                <w:w w:val="97"/>
              </w:rPr>
              <w:t>DEFINED IN</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2540" w:type="dxa"/>
            <w:vAlign w:val="bottom"/>
            <w:vMerge w:val="continue"/>
          </w:tcPr>
          <w:p>
            <w:pPr>
              <w:spacing w:after="0"/>
              <w:rPr>
                <w:sz w:val="14"/>
                <w:szCs w:val="14"/>
                <w:color w:val="auto"/>
              </w:rPr>
            </w:pPr>
          </w:p>
        </w:tc>
        <w:tc>
          <w:tcPr>
            <w:tcW w:w="3320" w:type="dxa"/>
            <w:vAlign w:val="bottom"/>
          </w:tcPr>
          <w:p>
            <w:pPr>
              <w:spacing w:after="0"/>
              <w:rPr>
                <w:sz w:val="14"/>
                <w:szCs w:val="14"/>
                <w:color w:val="auto"/>
              </w:rPr>
            </w:pPr>
          </w:p>
        </w:tc>
        <w:tc>
          <w:tcPr>
            <w:tcW w:w="820" w:type="dxa"/>
            <w:vAlign w:val="bottom"/>
            <w:gridSpan w:val="2"/>
          </w:tcPr>
          <w:p>
            <w:pPr>
              <w:jc w:val="center"/>
              <w:ind w:right="60"/>
              <w:spacing w:after="0" w:line="148" w:lineRule="exact"/>
              <w:rPr>
                <w:sz w:val="20"/>
                <w:szCs w:val="20"/>
                <w:color w:val="auto"/>
              </w:rPr>
            </w:pPr>
            <w:r>
              <w:rPr>
                <w:rFonts w:ascii="Times New Roman" w:cs="Times New Roman" w:eastAsia="Times New Roman" w:hAnsi="Times New Roman"/>
                <w:sz w:val="14"/>
                <w:szCs w:val="14"/>
                <w:color w:val="auto"/>
                <w:w w:val="94"/>
              </w:rPr>
              <w:t>SECTION</w:t>
            </w:r>
          </w:p>
        </w:tc>
        <w:tc>
          <w:tcPr>
            <w:tcW w:w="0" w:type="dxa"/>
            <w:vAlign w:val="bottom"/>
          </w:tcPr>
          <w:p>
            <w:pPr>
              <w:spacing w:after="0"/>
              <w:rPr>
                <w:sz w:val="1"/>
                <w:szCs w:val="1"/>
                <w:color w:val="auto"/>
              </w:rPr>
            </w:pPr>
          </w:p>
        </w:tc>
      </w:tr>
      <w:tr>
        <w:trPr>
          <w:trHeight w:val="189"/>
        </w:trPr>
        <w:tc>
          <w:tcPr>
            <w:tcW w:w="29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Bankruptcy Law</w:t>
            </w:r>
            <w:r>
              <w:rPr>
                <w:rFonts w:ascii="Times New Roman" w:cs="Times New Roman" w:eastAsia="Times New Roman" w:hAnsi="Times New Roman"/>
                <w:sz w:val="17"/>
                <w:szCs w:val="17"/>
                <w:color w:val="auto"/>
              </w:rPr>
              <w:t>”</w:t>
            </w:r>
          </w:p>
        </w:tc>
        <w:tc>
          <w:tcPr>
            <w:tcW w:w="33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6.1</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Custodian</w:t>
            </w:r>
            <w:r>
              <w:rPr>
                <w:rFonts w:ascii="Times New Roman" w:cs="Times New Roman" w:eastAsia="Times New Roman" w:hAnsi="Times New Roman"/>
                <w:sz w:val="17"/>
                <w:szCs w:val="17"/>
                <w:color w:val="auto"/>
              </w:rPr>
              <w:t>”</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Event of Default</w:t>
            </w:r>
            <w:r>
              <w:rPr>
                <w:rFonts w:ascii="Times New Roman" w:cs="Times New Roman" w:eastAsia="Times New Roman" w:hAnsi="Times New Roman"/>
                <w:sz w:val="17"/>
                <w:szCs w:val="17"/>
                <w:color w:val="auto"/>
              </w:rPr>
              <w:t>”</w:t>
            </w:r>
          </w:p>
        </w:tc>
        <w:tc>
          <w:tcPr>
            <w:tcW w:w="4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Judgment Currency</w:t>
            </w:r>
            <w:r>
              <w:rPr>
                <w:rFonts w:ascii="Times New Roman" w:cs="Times New Roman" w:eastAsia="Times New Roman" w:hAnsi="Times New Roman"/>
                <w:sz w:val="17"/>
                <w:szCs w:val="17"/>
                <w:color w:val="auto"/>
              </w:rPr>
              <w:t>”</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10.16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Legal Holiday</w:t>
            </w:r>
            <w:r>
              <w:rPr>
                <w:rFonts w:ascii="Times New Roman" w:cs="Times New Roman" w:eastAsia="Times New Roman" w:hAnsi="Times New Roman"/>
                <w:sz w:val="17"/>
                <w:szCs w:val="17"/>
                <w:color w:val="auto"/>
              </w:rPr>
              <w:t>”</w:t>
            </w:r>
          </w:p>
        </w:tc>
        <w:tc>
          <w:tcPr>
            <w:tcW w:w="4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mandatory sinking fund payment</w:t>
            </w:r>
            <w:r>
              <w:rPr>
                <w:rFonts w:ascii="Times New Roman" w:cs="Times New Roman" w:eastAsia="Times New Roman" w:hAnsi="Times New Roman"/>
                <w:sz w:val="17"/>
                <w:szCs w:val="17"/>
                <w:color w:val="auto"/>
              </w:rPr>
              <w:t>”</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New York Banking Day</w:t>
            </w:r>
            <w:r>
              <w:rPr>
                <w:rFonts w:ascii="Times New Roman" w:cs="Times New Roman" w:eastAsia="Times New Roman" w:hAnsi="Times New Roman"/>
                <w:sz w:val="17"/>
                <w:szCs w:val="17"/>
                <w:color w:val="auto"/>
              </w:rPr>
              <w:t>”</w:t>
            </w:r>
          </w:p>
        </w:tc>
        <w:tc>
          <w:tcPr>
            <w:tcW w:w="4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Notice Agent</w:t>
            </w:r>
            <w:r>
              <w:rPr>
                <w:rFonts w:ascii="Times New Roman" w:cs="Times New Roman" w:eastAsia="Times New Roman" w:hAnsi="Times New Roman"/>
                <w:sz w:val="17"/>
                <w:szCs w:val="17"/>
                <w:color w:val="auto"/>
              </w:rPr>
              <w:t>”</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optional sinking fund payment</w:t>
            </w:r>
            <w:r>
              <w:rPr>
                <w:rFonts w:ascii="Times New Roman" w:cs="Times New Roman" w:eastAsia="Times New Roman" w:hAnsi="Times New Roman"/>
                <w:sz w:val="17"/>
                <w:szCs w:val="17"/>
                <w:color w:val="auto"/>
              </w:rPr>
              <w:t>”</w:t>
            </w:r>
          </w:p>
        </w:tc>
        <w:tc>
          <w:tcPr>
            <w:tcW w:w="4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Paying Agent</w:t>
            </w:r>
            <w:r>
              <w:rPr>
                <w:rFonts w:ascii="Times New Roman" w:cs="Times New Roman" w:eastAsia="Times New Roman" w:hAnsi="Times New Roman"/>
                <w:sz w:val="17"/>
                <w:szCs w:val="17"/>
                <w:color w:val="auto"/>
              </w:rPr>
              <w:t>”</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Registrar</w:t>
            </w:r>
            <w:r>
              <w:rPr>
                <w:rFonts w:ascii="Times New Roman" w:cs="Times New Roman" w:eastAsia="Times New Roman" w:hAnsi="Times New Roman"/>
                <w:sz w:val="17"/>
                <w:szCs w:val="17"/>
                <w:color w:val="auto"/>
              </w:rPr>
              <w:t>”</w:t>
            </w:r>
          </w:p>
        </w:tc>
        <w:tc>
          <w:tcPr>
            <w:tcW w:w="4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Required Currency</w:t>
            </w:r>
            <w:r>
              <w:rPr>
                <w:rFonts w:ascii="Times New Roman" w:cs="Times New Roman" w:eastAsia="Times New Roman" w:hAnsi="Times New Roman"/>
                <w:sz w:val="17"/>
                <w:szCs w:val="17"/>
                <w:color w:val="auto"/>
              </w:rPr>
              <w:t>”</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10.16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Specified Courts</w:t>
            </w:r>
            <w:r>
              <w:rPr>
                <w:rFonts w:ascii="Times New Roman" w:cs="Times New Roman" w:eastAsia="Times New Roman" w:hAnsi="Times New Roman"/>
                <w:sz w:val="17"/>
                <w:szCs w:val="17"/>
                <w:color w:val="auto"/>
              </w:rPr>
              <w:t>”</w:t>
            </w:r>
          </w:p>
        </w:tc>
        <w:tc>
          <w:tcPr>
            <w:tcW w:w="4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successor person</w:t>
            </w:r>
            <w:r>
              <w:rPr>
                <w:rFonts w:ascii="Times New Roman" w:cs="Times New Roman" w:eastAsia="Times New Roman" w:hAnsi="Times New Roman"/>
                <w:sz w:val="17"/>
                <w:szCs w:val="17"/>
                <w:color w:val="auto"/>
              </w:rPr>
              <w:t>”</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3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320" w:type="dxa"/>
            <w:vAlign w:val="bottom"/>
          </w:tcPr>
          <w:p>
            <w:pPr>
              <w:jc w:val="right"/>
              <w:ind w:right="2596"/>
              <w:spacing w:after="0"/>
              <w:rPr>
                <w:sz w:val="20"/>
                <w:szCs w:val="20"/>
                <w:color w:val="auto"/>
              </w:rPr>
            </w:pPr>
            <w:r>
              <w:rPr>
                <w:rFonts w:ascii="Times New Roman" w:cs="Times New Roman" w:eastAsia="Times New Roman" w:hAnsi="Times New Roman"/>
                <w:sz w:val="17"/>
                <w:szCs w:val="17"/>
                <w:color w:val="auto"/>
              </w:rPr>
              <w:t>4</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80"/>
          </w:cols>
          <w:pgMar w:left="740" w:top="259" w:right="779" w:bottom="1440" w:gutter="0" w:footer="0" w:header="0"/>
        </w:sectPr>
      </w:pPr>
    </w:p>
    <w:bookmarkStart w:id="126" w:name="page127"/>
    <w:bookmarkEnd w:id="126"/>
    <w:p>
      <w:pPr>
        <w:ind w:left="4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4">
                      <a:extLst>
                        <a:ext uri="{28A0092B-C50C-407E-A947-70E740481C1C}"/>
                      </a:extLst>
                    </a:blip>
                    <a:srcRect/>
                    <a:stretch>
                      <a:fillRect/>
                    </a:stretch>
                  </pic:blipFill>
                  <pic:spPr bwMode="auto">
                    <a:xfrm>
                      <a:off x="0" y="0"/>
                      <a:ext cx="7181850" cy="36830"/>
                    </a:xfrm>
                    <a:prstGeom prst="rect">
                      <a:avLst/>
                    </a:prstGeom>
                    <a:noFill/>
                  </pic:spPr>
                </pic:pic>
              </a:graphicData>
            </a:graphic>
          </wp:anchor>
        </w:drawing>
        <w:t xml:space="preserve">Section 1.3 </w:t>
      </w:r>
      <w:r>
        <w:rPr>
          <w:rFonts w:ascii="Times New Roman" w:cs="Times New Roman" w:eastAsia="Times New Roman" w:hAnsi="Times New Roman"/>
          <w:sz w:val="17"/>
          <w:szCs w:val="17"/>
          <w:u w:val="single" w:color="auto"/>
          <w:color w:val="auto"/>
        </w:rPr>
        <w:t>Incorporation by Reference of Trust Indenture Act</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340" w:firstLine="416"/>
        <w:spacing w:after="0" w:line="279" w:lineRule="auto"/>
        <w:rPr>
          <w:sz w:val="20"/>
          <w:szCs w:val="20"/>
          <w:color w:val="auto"/>
        </w:rPr>
      </w:pPr>
      <w:r>
        <w:rPr>
          <w:rFonts w:ascii="Times New Roman" w:cs="Times New Roman" w:eastAsia="Times New Roman" w:hAnsi="Times New Roman"/>
          <w:sz w:val="17"/>
          <w:szCs w:val="17"/>
          <w:color w:val="auto"/>
        </w:rPr>
        <w:t>Whenever this Indenture refers to a provision of the TIA, the provision is incorporated by reference in and made a part of this Indenture. The following TIA terms used in this Indenture have the following meanings:</w:t>
      </w:r>
    </w:p>
    <w:p>
      <w:pPr>
        <w:spacing w:after="0" w:line="1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Commission</w:t>
      </w:r>
      <w:r>
        <w:rPr>
          <w:rFonts w:ascii="Times New Roman" w:cs="Times New Roman" w:eastAsia="Times New Roman" w:hAnsi="Times New Roman"/>
          <w:sz w:val="17"/>
          <w:szCs w:val="17"/>
          <w:color w:val="auto"/>
        </w:rPr>
        <w:t>” means the SEC.</w:t>
      </w: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indenture securities</w:t>
      </w:r>
      <w:r>
        <w:rPr>
          <w:rFonts w:ascii="Times New Roman" w:cs="Times New Roman" w:eastAsia="Times New Roman" w:hAnsi="Times New Roman"/>
          <w:sz w:val="17"/>
          <w:szCs w:val="17"/>
          <w:color w:val="auto"/>
        </w:rPr>
        <w:t>” means the Securities.</w:t>
      </w: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indenture security holder</w:t>
      </w:r>
      <w:r>
        <w:rPr>
          <w:rFonts w:ascii="Times New Roman" w:cs="Times New Roman" w:eastAsia="Times New Roman" w:hAnsi="Times New Roman"/>
          <w:sz w:val="17"/>
          <w:szCs w:val="17"/>
          <w:color w:val="auto"/>
        </w:rPr>
        <w:t xml:space="preserve">” means a Securityholder. </w:t>
      </w:r>
      <w:r>
        <w:rPr>
          <w:rFonts w:ascii="Times New Roman" w:cs="Times New Roman" w:eastAsia="Times New Roman" w:hAnsi="Times New Roman"/>
          <w:sz w:val="17"/>
          <w:szCs w:val="17"/>
          <w:i w:val="1"/>
          <w:iCs w:val="1"/>
          <w:color w:val="auto"/>
        </w:rPr>
        <w:t>indenture to be qualified</w:t>
      </w:r>
      <w:r>
        <w:rPr>
          <w:rFonts w:ascii="Times New Roman" w:cs="Times New Roman" w:eastAsia="Times New Roman" w:hAnsi="Times New Roman"/>
          <w:sz w:val="17"/>
          <w:szCs w:val="17"/>
          <w:color w:val="auto"/>
        </w:rPr>
        <w:t>” means this Indenture.</w:t>
      </w: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indenture trustee</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i w:val="1"/>
          <w:iCs w:val="1"/>
          <w:color w:val="auto"/>
        </w:rPr>
        <w:t>institutional trustee</w:t>
      </w:r>
      <w:r>
        <w:rPr>
          <w:rFonts w:ascii="Times New Roman" w:cs="Times New Roman" w:eastAsia="Times New Roman" w:hAnsi="Times New Roman"/>
          <w:sz w:val="17"/>
          <w:szCs w:val="17"/>
          <w:color w:val="auto"/>
        </w:rPr>
        <w:t>” means the Trustee.</w:t>
      </w: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obligor</w:t>
      </w:r>
      <w:r>
        <w:rPr>
          <w:rFonts w:ascii="Times New Roman" w:cs="Times New Roman" w:eastAsia="Times New Roman" w:hAnsi="Times New Roman"/>
          <w:sz w:val="17"/>
          <w:szCs w:val="17"/>
          <w:color w:val="auto"/>
        </w:rPr>
        <w:t>” on the indenture securities means the Company and any successor obligor upon the Securities.</w:t>
      </w:r>
    </w:p>
    <w:p>
      <w:pPr>
        <w:spacing w:after="0" w:line="216" w:lineRule="exact"/>
        <w:rPr>
          <w:sz w:val="20"/>
          <w:szCs w:val="20"/>
          <w:color w:val="auto"/>
        </w:rPr>
      </w:pPr>
    </w:p>
    <w:p>
      <w:pPr>
        <w:ind w:right="200" w:firstLine="416"/>
        <w:spacing w:after="0" w:line="279" w:lineRule="auto"/>
        <w:rPr>
          <w:sz w:val="20"/>
          <w:szCs w:val="20"/>
          <w:color w:val="auto"/>
        </w:rPr>
      </w:pPr>
      <w:r>
        <w:rPr>
          <w:rFonts w:ascii="Times New Roman" w:cs="Times New Roman" w:eastAsia="Times New Roman" w:hAnsi="Times New Roman"/>
          <w:sz w:val="17"/>
          <w:szCs w:val="17"/>
          <w:color w:val="auto"/>
        </w:rPr>
        <w:t>All other terms used in this Indenture that are defined by the TIA, defined by TIA reference to another statute or defined by SEC rule under the TIA and not otherwise defined herein are used herein as so defined.</w:t>
      </w:r>
    </w:p>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1.4 </w:t>
      </w:r>
      <w:r>
        <w:rPr>
          <w:rFonts w:ascii="Times New Roman" w:cs="Times New Roman" w:eastAsia="Times New Roman" w:hAnsi="Times New Roman"/>
          <w:sz w:val="17"/>
          <w:szCs w:val="17"/>
          <w:u w:val="single" w:color="auto"/>
          <w:color w:val="auto"/>
        </w:rPr>
        <w:t>Rules of Construction</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Unless the context otherwise requires:</w:t>
      </w: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1.4.1 a term has the meaning assigned to it;</w:t>
      </w: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1.4.2 an accounting term not otherwise defined has the meaning assigned to it in accordance with GAAP;</w:t>
      </w:r>
    </w:p>
    <w:p>
      <w:pPr>
        <w:spacing w:after="0" w:line="2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1.4.3 “</w:t>
      </w:r>
      <w:r>
        <w:rPr>
          <w:rFonts w:ascii="Times New Roman" w:cs="Times New Roman" w:eastAsia="Times New Roman" w:hAnsi="Times New Roman"/>
          <w:sz w:val="17"/>
          <w:szCs w:val="17"/>
          <w:i w:val="1"/>
          <w:iCs w:val="1"/>
          <w:color w:val="auto"/>
        </w:rPr>
        <w:t>or</w:t>
      </w:r>
      <w:r>
        <w:rPr>
          <w:rFonts w:ascii="Times New Roman" w:cs="Times New Roman" w:eastAsia="Times New Roman" w:hAnsi="Times New Roman"/>
          <w:sz w:val="17"/>
          <w:szCs w:val="17"/>
          <w:color w:val="auto"/>
        </w:rPr>
        <w:t>” is not exclusive;</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1.4.4 words in the singular include the plural, and in the plural include the singular; and</w:t>
      </w: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1.4.5 provisions apply to successive events and transactions.</w:t>
      </w: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ARTICLE II.</w:t>
      </w:r>
    </w:p>
    <w:p>
      <w:pPr>
        <w:spacing w:after="0" w:line="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THE SECURITIES</w:t>
      </w:r>
    </w:p>
    <w:p>
      <w:pPr>
        <w:spacing w:after="0" w:line="1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2.1 </w:t>
      </w:r>
      <w:r>
        <w:rPr>
          <w:rFonts w:ascii="Times New Roman" w:cs="Times New Roman" w:eastAsia="Times New Roman" w:hAnsi="Times New Roman"/>
          <w:sz w:val="17"/>
          <w:szCs w:val="17"/>
          <w:u w:val="single" w:color="auto"/>
          <w:color w:val="auto"/>
        </w:rPr>
        <w:t>Issuable in Series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firstLine="416"/>
        <w:spacing w:after="0" w:line="255" w:lineRule="auto"/>
        <w:rPr>
          <w:sz w:val="20"/>
          <w:szCs w:val="20"/>
          <w:color w:val="auto"/>
        </w:rPr>
      </w:pPr>
      <w:r>
        <w:rPr>
          <w:rFonts w:ascii="Times New Roman" w:cs="Times New Roman" w:eastAsia="Times New Roman" w:hAnsi="Times New Roman"/>
          <w:sz w:val="17"/>
          <w:szCs w:val="17"/>
          <w:color w:val="auto"/>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a supplemental indenture or an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340"/>
          </w:cols>
          <w:pgMar w:left="740" w:top="263" w:right="819" w:bottom="1440" w:gutter="0" w:footer="0" w:header="0"/>
        </w:sectPr>
      </w:pPr>
    </w:p>
    <w:bookmarkStart w:id="127" w:name="page128"/>
    <w:bookmarkEnd w:id="127"/>
    <w:p>
      <w:pPr>
        <w:ind w:left="4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5">
                      <a:extLst>
                        <a:ext uri="{28A0092B-C50C-407E-A947-70E740481C1C}"/>
                      </a:extLst>
                    </a:blip>
                    <a:srcRect/>
                    <a:stretch>
                      <a:fillRect/>
                    </a:stretch>
                  </pic:blipFill>
                  <pic:spPr bwMode="auto">
                    <a:xfrm>
                      <a:off x="0" y="0"/>
                      <a:ext cx="7181850" cy="36830"/>
                    </a:xfrm>
                    <a:prstGeom prst="rect">
                      <a:avLst/>
                    </a:prstGeom>
                    <a:noFill/>
                  </pic:spPr>
                </pic:pic>
              </a:graphicData>
            </a:graphic>
          </wp:anchor>
        </w:drawing>
        <w:t xml:space="preserve">Section 2.2 </w:t>
      </w:r>
      <w:r>
        <w:rPr>
          <w:rFonts w:ascii="Times New Roman" w:cs="Times New Roman" w:eastAsia="Times New Roman" w:hAnsi="Times New Roman"/>
          <w:sz w:val="17"/>
          <w:szCs w:val="17"/>
          <w:u w:val="single" w:color="auto"/>
          <w:color w:val="auto"/>
        </w:rPr>
        <w:t>Establishment of Terms of Series of Securities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60" w:firstLine="416"/>
        <w:spacing w:after="0" w:line="288" w:lineRule="auto"/>
        <w:rPr>
          <w:sz w:val="20"/>
          <w:szCs w:val="20"/>
          <w:color w:val="auto"/>
        </w:rPr>
      </w:pPr>
      <w:r>
        <w:rPr>
          <w:rFonts w:ascii="Times New Roman" w:cs="Times New Roman" w:eastAsia="Times New Roman" w:hAnsi="Times New Roman"/>
          <w:sz w:val="16"/>
          <w:szCs w:val="16"/>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2.2.23) by or pursuant to a Board Resolution, and set forth or determined in the manner provided in a Board Resolution, supplemental indenture hereto or Officer’s Certificate:</w:t>
      </w:r>
    </w:p>
    <w:p>
      <w:pPr>
        <w:spacing w:after="0" w:line="153" w:lineRule="exact"/>
        <w:rPr>
          <w:sz w:val="20"/>
          <w:szCs w:val="20"/>
          <w:color w:val="auto"/>
        </w:rPr>
      </w:pPr>
    </w:p>
    <w:p>
      <w:pPr>
        <w:ind w:right="280" w:firstLine="416"/>
        <w:spacing w:after="0" w:line="279" w:lineRule="auto"/>
        <w:rPr>
          <w:sz w:val="20"/>
          <w:szCs w:val="20"/>
          <w:color w:val="auto"/>
        </w:rPr>
      </w:pPr>
      <w:r>
        <w:rPr>
          <w:rFonts w:ascii="Times New Roman" w:cs="Times New Roman" w:eastAsia="Times New Roman" w:hAnsi="Times New Roman"/>
          <w:sz w:val="17"/>
          <w:szCs w:val="17"/>
          <w:color w:val="auto"/>
        </w:rPr>
        <w:t>2.2.1 the title (which shall distinguish the Securities of that particular Series from the Securities of any other Series) and ranking (including the terms of any subordination provisions) of the Series;</w:t>
      </w:r>
    </w:p>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2.2.2 the price or prices (expressed as a percentage of the principal amount thereof) at which the Securities of the Series will be issued;</w:t>
      </w:r>
    </w:p>
    <w:p>
      <w:pPr>
        <w:spacing w:after="0" w:line="212" w:lineRule="exact"/>
        <w:rPr>
          <w:sz w:val="20"/>
          <w:szCs w:val="20"/>
          <w:color w:val="auto"/>
        </w:rPr>
      </w:pPr>
    </w:p>
    <w:p>
      <w:pPr>
        <w:jc w:val="both"/>
        <w:ind w:right="40" w:firstLine="416"/>
        <w:spacing w:after="0" w:line="264" w:lineRule="auto"/>
        <w:rPr>
          <w:sz w:val="20"/>
          <w:szCs w:val="20"/>
          <w:color w:val="auto"/>
        </w:rPr>
      </w:pPr>
      <w:r>
        <w:rPr>
          <w:rFonts w:ascii="Times New Roman" w:cs="Times New Roman" w:eastAsia="Times New Roman" w:hAnsi="Times New Roman"/>
          <w:sz w:val="17"/>
          <w:szCs w:val="17"/>
          <w:color w:val="auto"/>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1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2.2.4 the date or dates on which the principal of the Securities of the Series is payable;</w:t>
      </w:r>
    </w:p>
    <w:p>
      <w:pPr>
        <w:spacing w:after="0" w:line="212" w:lineRule="exact"/>
        <w:rPr>
          <w:sz w:val="20"/>
          <w:szCs w:val="20"/>
          <w:color w:val="auto"/>
        </w:rPr>
      </w:pPr>
    </w:p>
    <w:p>
      <w:pPr>
        <w:ind w:firstLine="416"/>
        <w:spacing w:after="0" w:line="259" w:lineRule="auto"/>
        <w:rPr>
          <w:sz w:val="20"/>
          <w:szCs w:val="20"/>
          <w:color w:val="auto"/>
        </w:rPr>
      </w:pPr>
      <w:r>
        <w:rPr>
          <w:rFonts w:ascii="Times New Roman" w:cs="Times New Roman" w:eastAsia="Times New Roman" w:hAnsi="Times New Roman"/>
          <w:sz w:val="17"/>
          <w:szCs w:val="17"/>
          <w:color w:val="auto"/>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75" w:lineRule="exact"/>
        <w:rPr>
          <w:sz w:val="20"/>
          <w:szCs w:val="20"/>
          <w:color w:val="auto"/>
        </w:rPr>
      </w:pPr>
    </w:p>
    <w:p>
      <w:pPr>
        <w:ind w:firstLine="416"/>
        <w:spacing w:after="0" w:line="264" w:lineRule="auto"/>
        <w:rPr>
          <w:sz w:val="20"/>
          <w:szCs w:val="20"/>
          <w:color w:val="auto"/>
        </w:rPr>
      </w:pPr>
      <w:r>
        <w:rPr>
          <w:rFonts w:ascii="Times New Roman" w:cs="Times New Roman" w:eastAsia="Times New Roman" w:hAnsi="Times New Roman"/>
          <w:sz w:val="17"/>
          <w:szCs w:val="17"/>
          <w:color w:val="auto"/>
        </w:rPr>
        <w:t>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w:t>
      </w:r>
    </w:p>
    <w:p>
      <w:pPr>
        <w:spacing w:after="0" w:line="170" w:lineRule="exact"/>
        <w:rPr>
          <w:sz w:val="20"/>
          <w:szCs w:val="20"/>
          <w:color w:val="auto"/>
        </w:rPr>
      </w:pPr>
    </w:p>
    <w:p>
      <w:pPr>
        <w:ind w:right="160" w:firstLine="416"/>
        <w:spacing w:after="0" w:line="279" w:lineRule="auto"/>
        <w:rPr>
          <w:sz w:val="20"/>
          <w:szCs w:val="20"/>
          <w:color w:val="auto"/>
        </w:rPr>
      </w:pPr>
      <w:r>
        <w:rPr>
          <w:rFonts w:ascii="Times New Roman" w:cs="Times New Roman" w:eastAsia="Times New Roman" w:hAnsi="Times New Roman"/>
          <w:sz w:val="17"/>
          <w:szCs w:val="17"/>
          <w:color w:val="auto"/>
        </w:rPr>
        <w:t>2.2.7 if applicable, the period or periods within which, the price or prices at which and the terms and conditions upon which the Securities of the Series may be redeemed, in whole or in part, at the option of the Company;</w:t>
      </w:r>
    </w:p>
    <w:p>
      <w:pPr>
        <w:spacing w:after="0" w:line="157" w:lineRule="exact"/>
        <w:rPr>
          <w:sz w:val="20"/>
          <w:szCs w:val="20"/>
          <w:color w:val="auto"/>
        </w:rPr>
      </w:pPr>
    </w:p>
    <w:p>
      <w:pPr>
        <w:ind w:right="300" w:firstLine="416"/>
        <w:spacing w:after="0" w:line="264" w:lineRule="auto"/>
        <w:rPr>
          <w:sz w:val="20"/>
          <w:szCs w:val="20"/>
          <w:color w:val="auto"/>
        </w:rPr>
      </w:pPr>
      <w:r>
        <w:rPr>
          <w:rFonts w:ascii="Times New Roman" w:cs="Times New Roman" w:eastAsia="Times New Roman" w:hAnsi="Times New Roman"/>
          <w:sz w:val="17"/>
          <w:szCs w:val="17"/>
          <w:color w:val="auto"/>
        </w:rPr>
        <w:t>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0400"/>
          </w:cols>
          <w:pgMar w:left="740" w:top="263" w:right="759" w:bottom="1440" w:gutter="0" w:footer="0" w:header="0"/>
        </w:sectPr>
      </w:pPr>
    </w:p>
    <w:bookmarkStart w:id="128" w:name="page129"/>
    <w:bookmarkEnd w:id="128"/>
    <w:p>
      <w:pPr>
        <w:ind w:right="180" w:firstLine="416"/>
        <w:spacing w:after="0" w:line="27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6">
                      <a:extLst>
                        <a:ext uri="{28A0092B-C50C-407E-A947-70E740481C1C}"/>
                      </a:extLst>
                    </a:blip>
                    <a:srcRect/>
                    <a:stretch>
                      <a:fillRect/>
                    </a:stretch>
                  </pic:blipFill>
                  <pic:spPr bwMode="auto">
                    <a:xfrm>
                      <a:off x="0" y="0"/>
                      <a:ext cx="7181850" cy="36830"/>
                    </a:xfrm>
                    <a:prstGeom prst="rect">
                      <a:avLst/>
                    </a:prstGeom>
                    <a:noFill/>
                  </pic:spPr>
                </pic:pic>
              </a:graphicData>
            </a:graphic>
          </wp:anchor>
        </w:drawing>
        <w:t>2.2.9 the dates, if any, on which and the price or prices at which the Securities of the Series will be repurchased by the Company at the option of the Holders thereof and other detailed terms and provisions of such repurchase obligations;</w:t>
      </w:r>
    </w:p>
    <w:p>
      <w:pPr>
        <w:spacing w:after="0" w:line="157" w:lineRule="exact"/>
        <w:rPr>
          <w:sz w:val="20"/>
          <w:szCs w:val="20"/>
          <w:color w:val="auto"/>
        </w:rPr>
      </w:pPr>
    </w:p>
    <w:p>
      <w:pPr>
        <w:ind w:right="300" w:firstLine="416"/>
        <w:spacing w:after="0" w:line="279" w:lineRule="auto"/>
        <w:rPr>
          <w:sz w:val="20"/>
          <w:szCs w:val="20"/>
          <w:color w:val="auto"/>
        </w:rPr>
      </w:pPr>
      <w:r>
        <w:rPr>
          <w:rFonts w:ascii="Times New Roman" w:cs="Times New Roman" w:eastAsia="Times New Roman" w:hAnsi="Times New Roman"/>
          <w:sz w:val="17"/>
          <w:szCs w:val="17"/>
          <w:color w:val="auto"/>
        </w:rPr>
        <w:t>2.2.10 if other than denominations of $1,000 and any integral multiple thereof, the denominations in which the Securities of the Series shall be issuable;</w:t>
      </w:r>
    </w:p>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2.2.11 the forms of the Securities of the Series and whether the Securities will be issuable as Global Securities;</w:t>
      </w:r>
    </w:p>
    <w:p>
      <w:pPr>
        <w:spacing w:after="0" w:line="212" w:lineRule="exact"/>
        <w:rPr>
          <w:sz w:val="20"/>
          <w:szCs w:val="20"/>
          <w:color w:val="auto"/>
        </w:rPr>
      </w:pPr>
    </w:p>
    <w:p>
      <w:pPr>
        <w:ind w:right="400" w:firstLine="416"/>
        <w:spacing w:after="0" w:line="279" w:lineRule="auto"/>
        <w:rPr>
          <w:sz w:val="20"/>
          <w:szCs w:val="20"/>
          <w:color w:val="auto"/>
        </w:rPr>
      </w:pPr>
      <w:r>
        <w:rPr>
          <w:rFonts w:ascii="Times New Roman" w:cs="Times New Roman" w:eastAsia="Times New Roman" w:hAnsi="Times New Roman"/>
          <w:sz w:val="17"/>
          <w:szCs w:val="17"/>
          <w:color w:val="auto"/>
        </w:rPr>
        <w:t>2.2.12 if other than the principal amount thereof, the portion of the principal amount of the Securities of the Series that shall be payable upon declaration of acceleration of the maturity thereof pursuant to Section 6.2;</w:t>
      </w:r>
    </w:p>
    <w:p>
      <w:pPr>
        <w:spacing w:after="0" w:line="157" w:lineRule="exact"/>
        <w:rPr>
          <w:sz w:val="20"/>
          <w:szCs w:val="20"/>
          <w:color w:val="auto"/>
        </w:rPr>
      </w:pPr>
    </w:p>
    <w:p>
      <w:pPr>
        <w:ind w:right="540" w:firstLine="416"/>
        <w:spacing w:after="0" w:line="279" w:lineRule="auto"/>
        <w:rPr>
          <w:sz w:val="20"/>
          <w:szCs w:val="20"/>
          <w:color w:val="auto"/>
        </w:rPr>
      </w:pPr>
      <w:r>
        <w:rPr>
          <w:rFonts w:ascii="Times New Roman" w:cs="Times New Roman" w:eastAsia="Times New Roman" w:hAnsi="Times New Roman"/>
          <w:sz w:val="17"/>
          <w:szCs w:val="17"/>
          <w:color w:val="auto"/>
        </w:rPr>
        <w:t>2.2.13 the currency of denomination of the Securities of the Series, which may be Dollars or any Foreign Currency, and if such currency of denomination is a composite currency, the agency or organization, if any, responsible for overseeing such composite currency;</w:t>
      </w:r>
    </w:p>
    <w:p>
      <w:pPr>
        <w:spacing w:after="0" w:line="157" w:lineRule="exact"/>
        <w:rPr>
          <w:sz w:val="20"/>
          <w:szCs w:val="20"/>
          <w:color w:val="auto"/>
        </w:rPr>
      </w:pPr>
    </w:p>
    <w:p>
      <w:pPr>
        <w:ind w:right="220" w:firstLine="416"/>
        <w:spacing w:after="0" w:line="279" w:lineRule="auto"/>
        <w:rPr>
          <w:sz w:val="20"/>
          <w:szCs w:val="20"/>
          <w:color w:val="auto"/>
        </w:rPr>
      </w:pPr>
      <w:r>
        <w:rPr>
          <w:rFonts w:ascii="Times New Roman" w:cs="Times New Roman" w:eastAsia="Times New Roman" w:hAnsi="Times New Roman"/>
          <w:sz w:val="17"/>
          <w:szCs w:val="17"/>
          <w:color w:val="auto"/>
        </w:rPr>
        <w:t>2.2.14 the designation of the currency, currencies or currency units in which payment of the principal of and interest, if any, on the Securities of the Series will be made;</w:t>
      </w:r>
    </w:p>
    <w:p>
      <w:pPr>
        <w:spacing w:after="0" w:line="157" w:lineRule="exact"/>
        <w:rPr>
          <w:sz w:val="20"/>
          <w:szCs w:val="20"/>
          <w:color w:val="auto"/>
        </w:rPr>
      </w:pPr>
    </w:p>
    <w:p>
      <w:pPr>
        <w:ind w:firstLine="416"/>
        <w:spacing w:after="0" w:line="311" w:lineRule="auto"/>
        <w:rPr>
          <w:sz w:val="20"/>
          <w:szCs w:val="20"/>
          <w:color w:val="auto"/>
        </w:rPr>
      </w:pPr>
      <w:r>
        <w:rPr>
          <w:rFonts w:ascii="Times New Roman" w:cs="Times New Roman" w:eastAsia="Times New Roman" w:hAnsi="Times New Roman"/>
          <w:sz w:val="16"/>
          <w:szCs w:val="16"/>
          <w:color w:val="auto"/>
        </w:rPr>
        <w:t>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34" w:lineRule="exact"/>
        <w:rPr>
          <w:sz w:val="20"/>
          <w:szCs w:val="20"/>
          <w:color w:val="auto"/>
        </w:rPr>
      </w:pPr>
    </w:p>
    <w:p>
      <w:pPr>
        <w:ind w:right="280" w:firstLine="416"/>
        <w:spacing w:after="0" w:line="264" w:lineRule="auto"/>
        <w:rPr>
          <w:sz w:val="20"/>
          <w:szCs w:val="20"/>
          <w:color w:val="auto"/>
        </w:rPr>
      </w:pPr>
      <w:r>
        <w:rPr>
          <w:rFonts w:ascii="Times New Roman" w:cs="Times New Roman" w:eastAsia="Times New Roman" w:hAnsi="Times New Roman"/>
          <w:sz w:val="17"/>
          <w:szCs w:val="17"/>
          <w:color w:val="auto"/>
        </w:rPr>
        <w:t>2.2.16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2.2.17 the provisions, if any, relating to any security provided for the Securities of the Series;</w:t>
      </w:r>
    </w:p>
    <w:p>
      <w:pPr>
        <w:spacing w:after="0" w:line="212" w:lineRule="exact"/>
        <w:rPr>
          <w:sz w:val="20"/>
          <w:szCs w:val="20"/>
          <w:color w:val="auto"/>
        </w:rPr>
      </w:pPr>
    </w:p>
    <w:p>
      <w:pPr>
        <w:ind w:right="200" w:firstLine="416"/>
        <w:spacing w:after="0" w:line="279" w:lineRule="auto"/>
        <w:rPr>
          <w:sz w:val="20"/>
          <w:szCs w:val="20"/>
          <w:color w:val="auto"/>
        </w:rPr>
      </w:pPr>
      <w:r>
        <w:rPr>
          <w:rFonts w:ascii="Times New Roman" w:cs="Times New Roman" w:eastAsia="Times New Roman" w:hAnsi="Times New Roman"/>
          <w:sz w:val="17"/>
          <w:szCs w:val="17"/>
          <w:color w:val="auto"/>
        </w:rPr>
        <w:t>2.2.18 any addition to, deletion of or change in the Events of Default which applies to any Securities of the Series and any change in the right of the Trustee or the requisite Holders of such Securities to declare the principal amount thereof due and payable pursuant to Section 6.2;</w:t>
      </w:r>
    </w:p>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2.2.19 any addition to, deletion of or change in the covenants set forth in Articles IV or V which applies to Securities of the Series;</w:t>
      </w:r>
    </w:p>
    <w:p>
      <w:pPr>
        <w:spacing w:after="0" w:line="212" w:lineRule="exact"/>
        <w:rPr>
          <w:sz w:val="20"/>
          <w:szCs w:val="20"/>
          <w:color w:val="auto"/>
        </w:rPr>
      </w:pPr>
    </w:p>
    <w:p>
      <w:pPr>
        <w:ind w:right="140" w:firstLine="416"/>
        <w:spacing w:after="0" w:line="279" w:lineRule="auto"/>
        <w:rPr>
          <w:sz w:val="20"/>
          <w:szCs w:val="20"/>
          <w:color w:val="auto"/>
        </w:rPr>
      </w:pPr>
      <w:r>
        <w:rPr>
          <w:rFonts w:ascii="Times New Roman" w:cs="Times New Roman" w:eastAsia="Times New Roman" w:hAnsi="Times New Roman"/>
          <w:sz w:val="17"/>
          <w:szCs w:val="17"/>
          <w:color w:val="auto"/>
        </w:rPr>
        <w:t>2.2.20 any Depositaries, interest rate calculation agents, exchange rate calculation agents or other agents with respect to Securities of such Series if other than those appointed herein;</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0400"/>
          </w:cols>
          <w:pgMar w:left="740" w:top="263" w:right="759" w:bottom="1440" w:gutter="0" w:footer="0" w:header="0"/>
        </w:sectPr>
      </w:pPr>
    </w:p>
    <w:bookmarkStart w:id="129" w:name="page130"/>
    <w:bookmarkEnd w:id="129"/>
    <w:p>
      <w:pPr>
        <w:ind w:right="300" w:firstLine="416"/>
        <w:spacing w:after="0" w:line="25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7">
                      <a:extLst>
                        <a:ext uri="{28A0092B-C50C-407E-A947-70E740481C1C}"/>
                      </a:extLst>
                    </a:blip>
                    <a:srcRect/>
                    <a:stretch>
                      <a:fillRect/>
                    </a:stretch>
                  </pic:blipFill>
                  <pic:spPr bwMode="auto">
                    <a:xfrm>
                      <a:off x="0" y="0"/>
                      <a:ext cx="7181850" cy="36830"/>
                    </a:xfrm>
                    <a:prstGeom prst="rect">
                      <a:avLst/>
                    </a:prstGeom>
                    <a:noFill/>
                  </pic:spPr>
                </pic:pic>
              </a:graphicData>
            </a:graphic>
          </wp:anchor>
        </w:drawing>
        <w:t>2.2.21 the provisions, if any, relating to conversion or exchange of any Securities of such Series, including if applicable, the conversion or exchange price, the conversion or exchange period, provisions as to whether conversion or exchange will be mandatory, at the option of the Holders thereof or at the option of the Company, the events requiring an adjustment of the conversion price or exchange price and provisions affecting conversion or exchange if such Series of Securities are redeemed;</w:t>
      </w:r>
    </w:p>
    <w:p>
      <w:pPr>
        <w:spacing w:after="0" w:line="175" w:lineRule="exact"/>
        <w:rPr>
          <w:sz w:val="20"/>
          <w:szCs w:val="20"/>
          <w:color w:val="auto"/>
        </w:rPr>
      </w:pPr>
    </w:p>
    <w:p>
      <w:pPr>
        <w:jc w:val="both"/>
        <w:ind w:right="60" w:firstLine="416"/>
        <w:spacing w:after="0" w:line="264" w:lineRule="auto"/>
        <w:rPr>
          <w:sz w:val="20"/>
          <w:szCs w:val="20"/>
          <w:color w:val="auto"/>
        </w:rPr>
      </w:pPr>
      <w:r>
        <w:rPr>
          <w:rFonts w:ascii="Times New Roman" w:cs="Times New Roman" w:eastAsia="Times New Roman" w:hAnsi="Times New Roman"/>
          <w:sz w:val="17"/>
          <w:szCs w:val="17"/>
          <w:color w:val="auto"/>
        </w:rPr>
        <w:t>2.2.22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and</w:t>
      </w:r>
    </w:p>
    <w:p>
      <w:pPr>
        <w:spacing w:after="0" w:line="170" w:lineRule="exact"/>
        <w:rPr>
          <w:sz w:val="20"/>
          <w:szCs w:val="20"/>
          <w:color w:val="auto"/>
        </w:rPr>
      </w:pPr>
    </w:p>
    <w:p>
      <w:pPr>
        <w:ind w:right="860" w:firstLine="416"/>
        <w:spacing w:after="0" w:line="279" w:lineRule="auto"/>
        <w:rPr>
          <w:sz w:val="20"/>
          <w:szCs w:val="20"/>
          <w:color w:val="auto"/>
        </w:rPr>
      </w:pPr>
      <w:r>
        <w:rPr>
          <w:rFonts w:ascii="Times New Roman" w:cs="Times New Roman" w:eastAsia="Times New Roman" w:hAnsi="Times New Roman"/>
          <w:sz w:val="17"/>
          <w:szCs w:val="17"/>
          <w:color w:val="auto"/>
        </w:rPr>
        <w:t>2.2.23 whether any of the Company’s direct or indirect Subsidiaries will guarantee the Securities of that Series, including the terms of subordination, if any, of such guarantees.</w:t>
      </w:r>
    </w:p>
    <w:p>
      <w:pPr>
        <w:spacing w:after="0" w:line="157" w:lineRule="exact"/>
        <w:rPr>
          <w:sz w:val="20"/>
          <w:szCs w:val="20"/>
          <w:color w:val="auto"/>
        </w:rPr>
      </w:pPr>
    </w:p>
    <w:p>
      <w:pPr>
        <w:ind w:right="580" w:firstLine="416"/>
        <w:spacing w:after="0" w:line="279" w:lineRule="auto"/>
        <w:rPr>
          <w:sz w:val="20"/>
          <w:szCs w:val="20"/>
          <w:color w:val="auto"/>
        </w:rPr>
      </w:pPr>
      <w:r>
        <w:rPr>
          <w:rFonts w:ascii="Times New Roman" w:cs="Times New Roman" w:eastAsia="Times New Roman" w:hAnsi="Times New Roman"/>
          <w:sz w:val="17"/>
          <w:szCs w:val="17"/>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w:t>
      </w:r>
    </w:p>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2.3 </w:t>
      </w:r>
      <w:r>
        <w:rPr>
          <w:rFonts w:ascii="Times New Roman" w:cs="Times New Roman" w:eastAsia="Times New Roman" w:hAnsi="Times New Roman"/>
          <w:sz w:val="17"/>
          <w:szCs w:val="17"/>
          <w:u w:val="single" w:color="auto"/>
          <w:color w:val="auto"/>
        </w:rPr>
        <w:t>Execution and Authentication</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An Officer shall sign the Securities for the Company by manual or facsimile signature.</w:t>
      </w:r>
    </w:p>
    <w:p>
      <w:pPr>
        <w:spacing w:after="0" w:line="212" w:lineRule="exact"/>
        <w:rPr>
          <w:sz w:val="20"/>
          <w:szCs w:val="20"/>
          <w:color w:val="auto"/>
        </w:rPr>
      </w:pPr>
    </w:p>
    <w:p>
      <w:pPr>
        <w:ind w:right="160" w:firstLine="416"/>
        <w:spacing w:after="0" w:line="279" w:lineRule="auto"/>
        <w:rPr>
          <w:sz w:val="20"/>
          <w:szCs w:val="20"/>
          <w:color w:val="auto"/>
        </w:rPr>
      </w:pPr>
      <w:r>
        <w:rPr>
          <w:rFonts w:ascii="Times New Roman" w:cs="Times New Roman" w:eastAsia="Times New Roman" w:hAnsi="Times New Roman"/>
          <w:sz w:val="17"/>
          <w:szCs w:val="17"/>
          <w:color w:val="auto"/>
        </w:rPr>
        <w:t>If an Officer whose signature is on a Security no longer holds that office at the time the Security is authenticated, the Security shall nevertheless be valid.</w:t>
      </w:r>
    </w:p>
    <w:p>
      <w:pPr>
        <w:spacing w:after="0" w:line="157" w:lineRule="exact"/>
        <w:rPr>
          <w:sz w:val="20"/>
          <w:szCs w:val="20"/>
          <w:color w:val="auto"/>
        </w:rPr>
      </w:pPr>
    </w:p>
    <w:p>
      <w:pPr>
        <w:ind w:right="680" w:firstLine="416"/>
        <w:spacing w:after="0" w:line="279" w:lineRule="auto"/>
        <w:rPr>
          <w:sz w:val="20"/>
          <w:szCs w:val="20"/>
          <w:color w:val="auto"/>
        </w:rPr>
      </w:pPr>
      <w:r>
        <w:rPr>
          <w:rFonts w:ascii="Times New Roman" w:cs="Times New Roman" w:eastAsia="Times New Roman" w:hAnsi="Times New Roman"/>
          <w:sz w:val="17"/>
          <w:szCs w:val="17"/>
          <w:color w:val="auto"/>
        </w:rPr>
        <w:t>A Security shall not be valid until authenticated by the manual signature of the Trustee or an authenticating agent. The signature shall be conclusive evidence that the Security has been authenticated under this Indenture.</w:t>
      </w:r>
    </w:p>
    <w:p>
      <w:pPr>
        <w:spacing w:after="0" w:line="157" w:lineRule="exact"/>
        <w:rPr>
          <w:sz w:val="20"/>
          <w:szCs w:val="20"/>
          <w:color w:val="auto"/>
        </w:rPr>
      </w:pPr>
    </w:p>
    <w:p>
      <w:pPr>
        <w:ind w:right="260" w:firstLine="416"/>
        <w:spacing w:after="0" w:line="264" w:lineRule="auto"/>
        <w:rPr>
          <w:sz w:val="20"/>
          <w:szCs w:val="20"/>
          <w:color w:val="auto"/>
        </w:rPr>
      </w:pPr>
      <w:r>
        <w:rPr>
          <w:rFonts w:ascii="Times New Roman" w:cs="Times New Roman" w:eastAsia="Times New Roman" w:hAnsi="Times New Roman"/>
          <w:sz w:val="17"/>
          <w:szCs w:val="17"/>
          <w:color w:val="auto"/>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w:t>
      </w:r>
    </w:p>
    <w:p>
      <w:pPr>
        <w:spacing w:after="0" w:line="170" w:lineRule="exact"/>
        <w:rPr>
          <w:sz w:val="20"/>
          <w:szCs w:val="20"/>
          <w:color w:val="auto"/>
        </w:rPr>
      </w:pPr>
    </w:p>
    <w:p>
      <w:pPr>
        <w:ind w:firstLine="416"/>
        <w:spacing w:after="0" w:line="264" w:lineRule="auto"/>
        <w:rPr>
          <w:sz w:val="20"/>
          <w:szCs w:val="20"/>
          <w:color w:val="auto"/>
        </w:rPr>
      </w:pPr>
      <w:r>
        <w:rPr>
          <w:rFonts w:ascii="Times New Roman" w:cs="Times New Roman" w:eastAsia="Times New Roman" w:hAnsi="Times New Roman"/>
          <w:sz w:val="17"/>
          <w:szCs w:val="17"/>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1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Prior to the issuance of Securities of any Series, the Trustee shall have received and (subject to Section 7.2) shall be fully protected in relying on:</w:t>
      </w:r>
    </w:p>
    <w:p>
      <w:pPr>
        <w:spacing w:after="0" w:line="24" w:lineRule="exact"/>
        <w:rPr>
          <w:sz w:val="20"/>
          <w:szCs w:val="20"/>
          <w:color w:val="auto"/>
        </w:rPr>
      </w:pPr>
    </w:p>
    <w:p>
      <w:pPr>
        <w:ind w:right="300" w:firstLine="8"/>
        <w:spacing w:after="0" w:line="255" w:lineRule="auto"/>
        <w:tabs>
          <w:tab w:leader="none" w:pos="231"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10.4, and (c) an Opinion of Counsel complying with Section 10.4.</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0360"/>
          </w:cols>
          <w:pgMar w:left="740" w:top="263" w:right="799" w:bottom="1440" w:gutter="0" w:footer="0" w:header="0"/>
        </w:sectPr>
      </w:pPr>
    </w:p>
    <w:bookmarkStart w:id="130" w:name="page131"/>
    <w:bookmarkEnd w:id="130"/>
    <w:p>
      <w:pPr>
        <w:jc w:val="both"/>
        <w:ind w:right="100" w:firstLine="416"/>
        <w:spacing w:after="0" w:line="25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8">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The Trustee shall have the right to decline to authenticate and deliver any Securities of such Series: (a) if the Trustee, being advised by counsel, determines that such action may not be taken lawfully; or (b) if the Trustee in good faith by its board of directors or trustees, executive committee or a trust committee of directors and/or vice-presidents or a committee of Responsible Officers shall determine that such action would expose the Trustee to personal liability to Holders of any then outstanding Series of Securities.</w:t>
      </w:r>
    </w:p>
    <w:p>
      <w:pPr>
        <w:spacing w:after="0" w:line="175" w:lineRule="exact"/>
        <w:rPr>
          <w:sz w:val="20"/>
          <w:szCs w:val="20"/>
          <w:color w:val="auto"/>
        </w:rPr>
      </w:pPr>
    </w:p>
    <w:p>
      <w:pPr>
        <w:jc w:val="both"/>
        <w:ind w:right="100" w:firstLine="416"/>
        <w:spacing w:after="0" w:line="264" w:lineRule="auto"/>
        <w:rPr>
          <w:sz w:val="20"/>
          <w:szCs w:val="20"/>
          <w:color w:val="auto"/>
        </w:rPr>
      </w:pPr>
      <w:r>
        <w:rPr>
          <w:rFonts w:ascii="Times New Roman" w:cs="Times New Roman" w:eastAsia="Times New Roman" w:hAnsi="Times New Roman"/>
          <w:sz w:val="17"/>
          <w:szCs w:val="17"/>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2.4 </w:t>
      </w:r>
      <w:r>
        <w:rPr>
          <w:rFonts w:ascii="Times New Roman" w:cs="Times New Roman" w:eastAsia="Times New Roman" w:hAnsi="Times New Roman"/>
          <w:sz w:val="17"/>
          <w:szCs w:val="17"/>
          <w:u w:val="single" w:color="auto"/>
          <w:color w:val="auto"/>
        </w:rPr>
        <w:t>Registrar and Paying Agent</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firstLine="416"/>
        <w:spacing w:after="0" w:line="253" w:lineRule="auto"/>
        <w:rPr>
          <w:sz w:val="20"/>
          <w:szCs w:val="20"/>
          <w:color w:val="auto"/>
        </w:rPr>
      </w:pPr>
      <w:r>
        <w:rPr>
          <w:rFonts w:ascii="Times New Roman" w:cs="Times New Roman" w:eastAsia="Times New Roman" w:hAnsi="Times New Roman"/>
          <w:sz w:val="17"/>
          <w:szCs w:val="17"/>
          <w:color w:val="auto"/>
        </w:rPr>
        <w:t>The Company shall maintain, with respect to each Series of Securities, at the place or places specified with respect to such Series pursuant to Section 2.2, an office or agency where Securities of such Series may be presented or surrendered for payment (“</w:t>
      </w:r>
      <w:r>
        <w:rPr>
          <w:rFonts w:ascii="Times New Roman" w:cs="Times New Roman" w:eastAsia="Times New Roman" w:hAnsi="Times New Roman"/>
          <w:sz w:val="17"/>
          <w:szCs w:val="17"/>
          <w:i w:val="1"/>
          <w:iCs w:val="1"/>
          <w:color w:val="auto"/>
        </w:rPr>
        <w:t>Paying Agent</w:t>
      </w:r>
      <w:r>
        <w:rPr>
          <w:rFonts w:ascii="Times New Roman" w:cs="Times New Roman" w:eastAsia="Times New Roman" w:hAnsi="Times New Roman"/>
          <w:sz w:val="17"/>
          <w:szCs w:val="17"/>
          <w:color w:val="auto"/>
        </w:rPr>
        <w:t>”), where Securities of such Series may be surrendered for registration of transfer or exchange (“</w:t>
      </w:r>
      <w:r>
        <w:rPr>
          <w:rFonts w:ascii="Times New Roman" w:cs="Times New Roman" w:eastAsia="Times New Roman" w:hAnsi="Times New Roman"/>
          <w:sz w:val="17"/>
          <w:szCs w:val="17"/>
          <w:i w:val="1"/>
          <w:iCs w:val="1"/>
          <w:color w:val="auto"/>
        </w:rPr>
        <w:t>Registrar</w:t>
      </w:r>
      <w:r>
        <w:rPr>
          <w:rFonts w:ascii="Times New Roman" w:cs="Times New Roman" w:eastAsia="Times New Roman" w:hAnsi="Times New Roman"/>
          <w:sz w:val="17"/>
          <w:szCs w:val="17"/>
          <w:color w:val="auto"/>
        </w:rPr>
        <w:t>”) and where notices and demands to or upon the Company in respect of the Securities of such Series and this Indenture may be delivered (“</w:t>
      </w:r>
      <w:r>
        <w:rPr>
          <w:rFonts w:ascii="Times New Roman" w:cs="Times New Roman" w:eastAsia="Times New Roman" w:hAnsi="Times New Roman"/>
          <w:sz w:val="17"/>
          <w:szCs w:val="17"/>
          <w:i w:val="1"/>
          <w:iCs w:val="1"/>
          <w:color w:val="auto"/>
        </w:rPr>
        <w:t>Notice Agent</w:t>
      </w:r>
      <w:r>
        <w:rPr>
          <w:rFonts w:ascii="Times New Roman" w:cs="Times New Roman" w:eastAsia="Times New Roman" w:hAnsi="Times New Roman"/>
          <w:sz w:val="17"/>
          <w:szCs w:val="17"/>
          <w:color w:val="auto"/>
        </w:rPr>
        <w:t>”).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provided, however, that any appointment of the Trustee as the Notice Agent shall exclude the appointment of the Trustee or any office of the Trustee as an agent to receive the service of legal process on the Company.</w:t>
      </w:r>
    </w:p>
    <w:p>
      <w:pPr>
        <w:spacing w:after="0" w:line="180" w:lineRule="exact"/>
        <w:rPr>
          <w:sz w:val="20"/>
          <w:szCs w:val="20"/>
          <w:color w:val="auto"/>
        </w:rPr>
      </w:pPr>
    </w:p>
    <w:p>
      <w:pPr>
        <w:ind w:right="100" w:firstLine="416"/>
        <w:spacing w:after="0" w:line="255" w:lineRule="auto"/>
        <w:rPr>
          <w:sz w:val="20"/>
          <w:szCs w:val="20"/>
          <w:color w:val="auto"/>
        </w:rPr>
      </w:pPr>
      <w:r>
        <w:rPr>
          <w:rFonts w:ascii="Times New Roman" w:cs="Times New Roman" w:eastAsia="Times New Roman" w:hAnsi="Times New Roman"/>
          <w:sz w:val="17"/>
          <w:szCs w:val="17"/>
          <w:color w:val="auto"/>
        </w:rPr>
        <w:t>The Company may also from time to time designate one or more co-registrars, additional paying agents or additional notice agents and may from time to time rescind such designations; provided, however, that no such designation or rescission shall in any manner relieve the Company of its obligations to maintain a Registrar, Paying Agent and Notice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additional notice agent. The term “</w:t>
      </w:r>
      <w:r>
        <w:rPr>
          <w:rFonts w:ascii="Times New Roman" w:cs="Times New Roman" w:eastAsia="Times New Roman" w:hAnsi="Times New Roman"/>
          <w:sz w:val="17"/>
          <w:szCs w:val="17"/>
          <w:i w:val="1"/>
          <w:iCs w:val="1"/>
          <w:color w:val="auto"/>
        </w:rPr>
        <w:t>Registrar</w:t>
      </w:r>
      <w:r>
        <w:rPr>
          <w:rFonts w:ascii="Times New Roman" w:cs="Times New Roman" w:eastAsia="Times New Roman" w:hAnsi="Times New Roman"/>
          <w:sz w:val="17"/>
          <w:szCs w:val="17"/>
          <w:color w:val="auto"/>
        </w:rPr>
        <w:t>” includes any co-registrar; the term “</w:t>
      </w:r>
      <w:r>
        <w:rPr>
          <w:rFonts w:ascii="Times New Roman" w:cs="Times New Roman" w:eastAsia="Times New Roman" w:hAnsi="Times New Roman"/>
          <w:sz w:val="17"/>
          <w:szCs w:val="17"/>
          <w:i w:val="1"/>
          <w:iCs w:val="1"/>
          <w:color w:val="auto"/>
        </w:rPr>
        <w:t>Paying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Agent</w:t>
      </w:r>
      <w:r>
        <w:rPr>
          <w:rFonts w:ascii="Times New Roman" w:cs="Times New Roman" w:eastAsia="Times New Roman" w:hAnsi="Times New Roman"/>
          <w:sz w:val="17"/>
          <w:szCs w:val="17"/>
          <w:color w:val="auto"/>
        </w:rPr>
        <w:t>” includes any additional paying agent; and the term “</w:t>
      </w:r>
      <w:r>
        <w:rPr>
          <w:rFonts w:ascii="Times New Roman" w:cs="Times New Roman" w:eastAsia="Times New Roman" w:hAnsi="Times New Roman"/>
          <w:sz w:val="17"/>
          <w:szCs w:val="17"/>
          <w:i w:val="1"/>
          <w:iCs w:val="1"/>
          <w:color w:val="auto"/>
        </w:rPr>
        <w:t>Notice Agent</w:t>
      </w:r>
      <w:r>
        <w:rPr>
          <w:rFonts w:ascii="Times New Roman" w:cs="Times New Roman" w:eastAsia="Times New Roman" w:hAnsi="Times New Roman"/>
          <w:sz w:val="17"/>
          <w:szCs w:val="17"/>
          <w:color w:val="auto"/>
        </w:rPr>
        <w:t>” includes any additional notice agent. The Company or any of its Affiliates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may serve as Registrar or Paying Agent.</w:t>
      </w:r>
    </w:p>
    <w:p>
      <w:pPr>
        <w:spacing w:after="0" w:line="176" w:lineRule="exact"/>
        <w:rPr>
          <w:sz w:val="20"/>
          <w:szCs w:val="20"/>
          <w:color w:val="auto"/>
        </w:rPr>
      </w:pPr>
    </w:p>
    <w:p>
      <w:pPr>
        <w:ind w:right="200" w:firstLine="416"/>
        <w:spacing w:after="0" w:line="279" w:lineRule="auto"/>
        <w:rPr>
          <w:sz w:val="20"/>
          <w:szCs w:val="20"/>
          <w:color w:val="auto"/>
        </w:rPr>
      </w:pPr>
      <w:r>
        <w:rPr>
          <w:rFonts w:ascii="Times New Roman" w:cs="Times New Roman" w:eastAsia="Times New Roman" w:hAnsi="Times New Roman"/>
          <w:sz w:val="17"/>
          <w:szCs w:val="17"/>
          <w:color w:val="auto"/>
        </w:rPr>
        <w:t>The Company hereby appoints the Trustee the initial Registrar, Paying Agent and Notice Agent for each Series unless another Registrar, Paying Agent or Notice Agent, as the case may be, is appointed prior to the time Securities of that Series are first issued.</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0380"/>
          </w:cols>
          <w:pgMar w:left="740" w:top="263" w:right="779" w:bottom="1440" w:gutter="0" w:footer="0" w:header="0"/>
        </w:sectPr>
      </w:pPr>
    </w:p>
    <w:bookmarkStart w:id="131" w:name="page132"/>
    <w:bookmarkEnd w:id="131"/>
    <w:p>
      <w:pPr>
        <w:ind w:left="4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9">
                      <a:extLst>
                        <a:ext uri="{28A0092B-C50C-407E-A947-70E740481C1C}"/>
                      </a:extLst>
                    </a:blip>
                    <a:srcRect/>
                    <a:stretch>
                      <a:fillRect/>
                    </a:stretch>
                  </pic:blipFill>
                  <pic:spPr bwMode="auto">
                    <a:xfrm>
                      <a:off x="0" y="0"/>
                      <a:ext cx="7181850" cy="36830"/>
                    </a:xfrm>
                    <a:prstGeom prst="rect">
                      <a:avLst/>
                    </a:prstGeom>
                    <a:noFill/>
                  </pic:spPr>
                </pic:pic>
              </a:graphicData>
            </a:graphic>
          </wp:anchor>
        </w:drawing>
        <w:t xml:space="preserve">Section 2.5 </w:t>
      </w:r>
      <w:r>
        <w:rPr>
          <w:rFonts w:ascii="Times New Roman" w:cs="Times New Roman" w:eastAsia="Times New Roman" w:hAnsi="Times New Roman"/>
          <w:sz w:val="17"/>
          <w:szCs w:val="17"/>
          <w:u w:val="single" w:color="auto"/>
          <w:color w:val="auto"/>
        </w:rPr>
        <w:t>Paying Agent to Hold Money in Trust</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7"/>
          <w:szCs w:val="17"/>
          <w:color w:val="auto"/>
        </w:rPr>
        <w:t>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 Upon any bankruptcy, reorganization or similar proceeding with respect to the Company, the Trustee shall serve as Paying Agent for the Securities.</w:t>
      </w:r>
    </w:p>
    <w:p>
      <w:pPr>
        <w:spacing w:after="0" w:line="1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2.6 </w:t>
      </w:r>
      <w:r>
        <w:rPr>
          <w:rFonts w:ascii="Times New Roman" w:cs="Times New Roman" w:eastAsia="Times New Roman" w:hAnsi="Times New Roman"/>
          <w:sz w:val="17"/>
          <w:szCs w:val="17"/>
          <w:u w:val="single" w:color="auto"/>
          <w:color w:val="auto"/>
        </w:rPr>
        <w:t>Securityholder Lists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20" w:firstLine="416"/>
        <w:spacing w:after="0" w:line="259" w:lineRule="auto"/>
        <w:rPr>
          <w:sz w:val="20"/>
          <w:szCs w:val="20"/>
          <w:color w:val="auto"/>
        </w:rPr>
      </w:pPr>
      <w:r>
        <w:rPr>
          <w:rFonts w:ascii="Times New Roman" w:cs="Times New Roman" w:eastAsia="Times New Roman" w:hAnsi="Times New Roman"/>
          <w:sz w:val="17"/>
          <w:szCs w:val="17"/>
          <w:color w:val="auto"/>
        </w:rPr>
        <w:t>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2.7 </w:t>
      </w:r>
      <w:r>
        <w:rPr>
          <w:rFonts w:ascii="Times New Roman" w:cs="Times New Roman" w:eastAsia="Times New Roman" w:hAnsi="Times New Roman"/>
          <w:sz w:val="17"/>
          <w:szCs w:val="17"/>
          <w:u w:val="single" w:color="auto"/>
          <w:color w:val="auto"/>
        </w:rPr>
        <w:t>Transfer and Exchange</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firstLine="416"/>
        <w:spacing w:after="0" w:line="255" w:lineRule="auto"/>
        <w:rPr>
          <w:sz w:val="20"/>
          <w:szCs w:val="20"/>
          <w:color w:val="auto"/>
        </w:rPr>
      </w:pPr>
      <w:r>
        <w:rPr>
          <w:rFonts w:ascii="Times New Roman" w:cs="Times New Roman" w:eastAsia="Times New Roman" w:hAnsi="Times New Roman"/>
          <w:sz w:val="17"/>
          <w:szCs w:val="17"/>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180" w:lineRule="exact"/>
        <w:rPr>
          <w:sz w:val="20"/>
          <w:szCs w:val="20"/>
          <w:color w:val="auto"/>
        </w:rPr>
      </w:pPr>
    </w:p>
    <w:p>
      <w:pPr>
        <w:ind w:right="180" w:firstLine="416"/>
        <w:spacing w:after="0" w:line="257" w:lineRule="auto"/>
        <w:rPr>
          <w:sz w:val="20"/>
          <w:szCs w:val="20"/>
          <w:color w:val="auto"/>
        </w:rPr>
      </w:pPr>
      <w:r>
        <w:rPr>
          <w:rFonts w:ascii="Times New Roman" w:cs="Times New Roman" w:eastAsia="Times New Roman" w:hAnsi="Times New Roman"/>
          <w:sz w:val="17"/>
          <w:szCs w:val="17"/>
          <w:color w:val="auto"/>
        </w:rPr>
        <w:t>Neither the Company nor the Registrar shall be required (a) to issue, register the transfer of, or exchange Securities of any Series for the period beginning at the opening of business fifteen days immediately preceding the sending of a notice of redemption of Securities of that Series selected for redemption and ending at the close of business on the day such notice is sent, or (b) to register the transfer of or exchange Securities of any Series selected, called or being called for redemption as a whole or the portion being redeemed of any such Securities selected, called or being called for redemption in part.</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0360"/>
          </w:cols>
          <w:pgMar w:left="740" w:top="263" w:right="799" w:bottom="1440" w:gutter="0" w:footer="0" w:header="0"/>
        </w:sectPr>
      </w:pPr>
    </w:p>
    <w:bookmarkStart w:id="132" w:name="page133"/>
    <w:bookmarkEnd w:id="132"/>
    <w:p>
      <w:pPr>
        <w:ind w:left="4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0">
                      <a:extLst>
                        <a:ext uri="{28A0092B-C50C-407E-A947-70E740481C1C}"/>
                      </a:extLst>
                    </a:blip>
                    <a:srcRect/>
                    <a:stretch>
                      <a:fillRect/>
                    </a:stretch>
                  </pic:blipFill>
                  <pic:spPr bwMode="auto">
                    <a:xfrm>
                      <a:off x="0" y="0"/>
                      <a:ext cx="7181850" cy="36830"/>
                    </a:xfrm>
                    <a:prstGeom prst="rect">
                      <a:avLst/>
                    </a:prstGeom>
                    <a:noFill/>
                  </pic:spPr>
                </pic:pic>
              </a:graphicData>
            </a:graphic>
          </wp:anchor>
        </w:drawing>
        <w:t xml:space="preserve">Section 2.8 </w:t>
      </w:r>
      <w:r>
        <w:rPr>
          <w:rFonts w:ascii="Times New Roman" w:cs="Times New Roman" w:eastAsia="Times New Roman" w:hAnsi="Times New Roman"/>
          <w:sz w:val="17"/>
          <w:szCs w:val="17"/>
          <w:u w:val="single" w:color="auto"/>
          <w:color w:val="auto"/>
        </w:rPr>
        <w:t>Mutilated, Destroyed, Lost and Stolen Securities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420" w:firstLine="416"/>
        <w:spacing w:after="0" w:line="311" w:lineRule="auto"/>
        <w:rPr>
          <w:sz w:val="20"/>
          <w:szCs w:val="20"/>
          <w:color w:val="auto"/>
        </w:rPr>
      </w:pPr>
      <w:r>
        <w:rPr>
          <w:rFonts w:ascii="Times New Roman" w:cs="Times New Roman" w:eastAsia="Times New Roman" w:hAnsi="Times New Roman"/>
          <w:sz w:val="16"/>
          <w:szCs w:val="16"/>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If there shall be delivered to the Company and the Trustee (i) evidence to their satisfaction of the destruction, loss or theft of any Security and</w:t>
      </w:r>
    </w:p>
    <w:p>
      <w:pPr>
        <w:spacing w:after="0" w:line="24" w:lineRule="exact"/>
        <w:rPr>
          <w:sz w:val="20"/>
          <w:szCs w:val="20"/>
          <w:color w:val="auto"/>
        </w:rPr>
      </w:pPr>
    </w:p>
    <w:p>
      <w:pPr>
        <w:ind w:firstLine="8"/>
        <w:spacing w:after="0" w:line="253" w:lineRule="auto"/>
        <w:tabs>
          <w:tab w:leader="none" w:pos="25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security or indemnity bond as may be required by each of them to hold itself and any of its agents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179" w:lineRule="exact"/>
        <w:rPr>
          <w:sz w:val="20"/>
          <w:szCs w:val="20"/>
          <w:color w:val="auto"/>
        </w:rPr>
      </w:pPr>
    </w:p>
    <w:p>
      <w:pPr>
        <w:ind w:right="280" w:firstLine="416"/>
        <w:spacing w:after="0" w:line="279" w:lineRule="auto"/>
        <w:rPr>
          <w:sz w:val="20"/>
          <w:szCs w:val="20"/>
          <w:color w:val="auto"/>
        </w:rPr>
      </w:pPr>
      <w:r>
        <w:rPr>
          <w:rFonts w:ascii="Times New Roman" w:cs="Times New Roman" w:eastAsia="Times New Roman" w:hAnsi="Times New Roman"/>
          <w:sz w:val="17"/>
          <w:szCs w:val="17"/>
          <w:color w:val="auto"/>
        </w:rPr>
        <w:t>In case any such mutilated, destroyed, lost or stolen Security has become or is about to become due and payable, the Company in its discretion may, instead of issuing a new Security, pay such Security.</w:t>
      </w:r>
    </w:p>
    <w:p>
      <w:pPr>
        <w:spacing w:after="0" w:line="157" w:lineRule="exact"/>
        <w:rPr>
          <w:sz w:val="20"/>
          <w:szCs w:val="20"/>
          <w:color w:val="auto"/>
        </w:rPr>
      </w:pPr>
    </w:p>
    <w:p>
      <w:pPr>
        <w:ind w:right="300" w:firstLine="416"/>
        <w:spacing w:after="0" w:line="264" w:lineRule="auto"/>
        <w:rPr>
          <w:sz w:val="20"/>
          <w:szCs w:val="20"/>
          <w:color w:val="auto"/>
        </w:rPr>
      </w:pPr>
      <w:r>
        <w:rPr>
          <w:rFonts w:ascii="Times New Roman" w:cs="Times New Roman" w:eastAsia="Times New Roman" w:hAnsi="Times New Roman"/>
          <w:sz w:val="17"/>
          <w:szCs w:val="17"/>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70" w:lineRule="exact"/>
        <w:rPr>
          <w:sz w:val="20"/>
          <w:szCs w:val="20"/>
          <w:color w:val="auto"/>
        </w:rPr>
      </w:pPr>
    </w:p>
    <w:p>
      <w:pPr>
        <w:ind w:right="180" w:firstLine="416"/>
        <w:spacing w:after="0" w:line="288" w:lineRule="auto"/>
        <w:rPr>
          <w:sz w:val="20"/>
          <w:szCs w:val="20"/>
          <w:color w:val="auto"/>
        </w:rPr>
      </w:pPr>
      <w:r>
        <w:rPr>
          <w:rFonts w:ascii="Times New Roman" w:cs="Times New Roman" w:eastAsia="Times New Roman" w:hAnsi="Times New Roman"/>
          <w:sz w:val="16"/>
          <w:szCs w:val="16"/>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53" w:lineRule="exact"/>
        <w:rPr>
          <w:sz w:val="20"/>
          <w:szCs w:val="20"/>
          <w:color w:val="auto"/>
        </w:rPr>
      </w:pPr>
    </w:p>
    <w:p>
      <w:pPr>
        <w:ind w:right="100" w:firstLine="416"/>
        <w:spacing w:after="0" w:line="279" w:lineRule="auto"/>
        <w:rPr>
          <w:sz w:val="20"/>
          <w:szCs w:val="20"/>
          <w:color w:val="auto"/>
        </w:rPr>
      </w:pPr>
      <w:r>
        <w:rPr>
          <w:rFonts w:ascii="Times New Roman" w:cs="Times New Roman" w:eastAsia="Times New Roman" w:hAnsi="Times New Roman"/>
          <w:sz w:val="17"/>
          <w:szCs w:val="17"/>
          <w:color w:val="auto"/>
        </w:rPr>
        <w:t>The provisions of this Section are exclusive and shall preclude (to the extent lawful) all other rights and remedies with respect to the replacement or payment of mutilated, destroyed, lost or stolen Securities.</w:t>
      </w:r>
    </w:p>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2.9 </w:t>
      </w:r>
      <w:r>
        <w:rPr>
          <w:rFonts w:ascii="Times New Roman" w:cs="Times New Roman" w:eastAsia="Times New Roman" w:hAnsi="Times New Roman"/>
          <w:sz w:val="17"/>
          <w:szCs w:val="17"/>
          <w:u w:val="single" w:color="auto"/>
          <w:color w:val="auto"/>
        </w:rPr>
        <w:t>Outstanding Securities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firstLine="416"/>
        <w:spacing w:after="0" w:line="264" w:lineRule="auto"/>
        <w:rPr>
          <w:sz w:val="20"/>
          <w:szCs w:val="20"/>
          <w:color w:val="auto"/>
        </w:rPr>
      </w:pPr>
      <w:r>
        <w:rPr>
          <w:rFonts w:ascii="Times New Roman" w:cs="Times New Roman" w:eastAsia="Times New Roman" w:hAnsi="Times New Roman"/>
          <w:sz w:val="17"/>
          <w:szCs w:val="17"/>
          <w:color w:val="auto"/>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170" w:lineRule="exact"/>
        <w:rPr>
          <w:sz w:val="20"/>
          <w:szCs w:val="20"/>
          <w:color w:val="auto"/>
        </w:rPr>
      </w:pPr>
    </w:p>
    <w:p>
      <w:pPr>
        <w:ind w:right="420" w:firstLine="416"/>
        <w:spacing w:after="0" w:line="279" w:lineRule="auto"/>
        <w:rPr>
          <w:sz w:val="20"/>
          <w:szCs w:val="20"/>
          <w:color w:val="auto"/>
        </w:rPr>
      </w:pPr>
      <w:r>
        <w:rPr>
          <w:rFonts w:ascii="Times New Roman" w:cs="Times New Roman" w:eastAsia="Times New Roman" w:hAnsi="Times New Roman"/>
          <w:sz w:val="17"/>
          <w:szCs w:val="17"/>
          <w:color w:val="auto"/>
        </w:rPr>
        <w:t>If a Security is replaced pursuant to Section 2.8, it ceases to be outstanding until the Trustee receives proof satisfactory to it that the replaced Security is held by a bona fide purchaser.</w:t>
      </w:r>
    </w:p>
    <w:p>
      <w:pPr>
        <w:spacing w:after="0" w:line="157" w:lineRule="exact"/>
        <w:rPr>
          <w:sz w:val="20"/>
          <w:szCs w:val="20"/>
          <w:color w:val="auto"/>
        </w:rPr>
      </w:pPr>
    </w:p>
    <w:p>
      <w:pPr>
        <w:jc w:val="both"/>
        <w:ind w:firstLine="416"/>
        <w:spacing w:after="0" w:line="264" w:lineRule="auto"/>
        <w:rPr>
          <w:sz w:val="20"/>
          <w:szCs w:val="20"/>
          <w:color w:val="auto"/>
        </w:rPr>
      </w:pPr>
      <w:r>
        <w:rPr>
          <w:rFonts w:ascii="Times New Roman" w:cs="Times New Roman" w:eastAsia="Times New Roman" w:hAnsi="Times New Roman"/>
          <w:sz w:val="17"/>
          <w:szCs w:val="17"/>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0380"/>
          </w:cols>
          <w:pgMar w:left="740" w:top="263" w:right="779" w:bottom="1440" w:gutter="0" w:footer="0" w:header="0"/>
        </w:sectPr>
      </w:pPr>
    </w:p>
    <w:bookmarkStart w:id="133" w:name="page134"/>
    <w:bookmarkEnd w:id="133"/>
    <w:p>
      <w:pPr>
        <w:ind w:right="400" w:firstLine="416"/>
        <w:spacing w:after="0" w:line="31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1">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The Company may purchase or otherwise acquire the Securities, whether by open market purchases, negotiated transactions or otherwise. A Security does not cease to be outstanding because the Company or an Affiliate of the Company holds the Security (but see Section 2.10 below).</w:t>
      </w:r>
    </w:p>
    <w:p>
      <w:pPr>
        <w:spacing w:after="0" w:line="134" w:lineRule="exact"/>
        <w:rPr>
          <w:sz w:val="20"/>
          <w:szCs w:val="20"/>
          <w:color w:val="auto"/>
        </w:rPr>
      </w:pPr>
    </w:p>
    <w:p>
      <w:pPr>
        <w:ind w:right="60" w:firstLine="416"/>
        <w:spacing w:after="0" w:line="259" w:lineRule="auto"/>
        <w:rPr>
          <w:sz w:val="20"/>
          <w:szCs w:val="20"/>
          <w:color w:val="auto"/>
        </w:rPr>
      </w:pPr>
      <w:r>
        <w:rPr>
          <w:rFonts w:ascii="Times New Roman" w:cs="Times New Roman" w:eastAsia="Times New Roman" w:hAnsi="Times New Roman"/>
          <w:sz w:val="17"/>
          <w:szCs w:val="17"/>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2.10 </w:t>
      </w:r>
      <w:r>
        <w:rPr>
          <w:rFonts w:ascii="Times New Roman" w:cs="Times New Roman" w:eastAsia="Times New Roman" w:hAnsi="Times New Roman"/>
          <w:sz w:val="17"/>
          <w:szCs w:val="17"/>
          <w:u w:val="single" w:color="auto"/>
          <w:color w:val="auto"/>
        </w:rPr>
        <w:t>Treasury Securities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120" w:firstLine="416"/>
        <w:spacing w:after="0" w:line="259" w:lineRule="auto"/>
        <w:rPr>
          <w:sz w:val="20"/>
          <w:szCs w:val="20"/>
          <w:color w:val="auto"/>
        </w:rPr>
      </w:pPr>
      <w:r>
        <w:rPr>
          <w:rFonts w:ascii="Times New Roman" w:cs="Times New Roman" w:eastAsia="Times New Roman" w:hAnsi="Times New Roman"/>
          <w:sz w:val="17"/>
          <w:szCs w:val="17"/>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knows are so owned shall be so disregarded.</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2.11 </w:t>
      </w:r>
      <w:r>
        <w:rPr>
          <w:rFonts w:ascii="Times New Roman" w:cs="Times New Roman" w:eastAsia="Times New Roman" w:hAnsi="Times New Roman"/>
          <w:sz w:val="17"/>
          <w:szCs w:val="17"/>
          <w:u w:val="single" w:color="auto"/>
          <w:color w:val="auto"/>
        </w:rPr>
        <w:t>Temporary Securities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firstLine="416"/>
        <w:spacing w:after="0" w:line="257" w:lineRule="auto"/>
        <w:rPr>
          <w:sz w:val="20"/>
          <w:szCs w:val="20"/>
          <w:color w:val="auto"/>
        </w:rPr>
      </w:pPr>
      <w:r>
        <w:rPr>
          <w:rFonts w:ascii="Times New Roman" w:cs="Times New Roman" w:eastAsia="Times New Roman" w:hAnsi="Times New Roman"/>
          <w:sz w:val="17"/>
          <w:szCs w:val="17"/>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2.12 </w:t>
      </w:r>
      <w:r>
        <w:rPr>
          <w:rFonts w:ascii="Times New Roman" w:cs="Times New Roman" w:eastAsia="Times New Roman" w:hAnsi="Times New Roman"/>
          <w:sz w:val="17"/>
          <w:szCs w:val="17"/>
          <w:u w:val="single" w:color="auto"/>
          <w:color w:val="auto"/>
        </w:rPr>
        <w:t>Cancellation</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40" w:firstLine="416"/>
        <w:spacing w:after="0" w:line="257" w:lineRule="auto"/>
        <w:rPr>
          <w:sz w:val="20"/>
          <w:szCs w:val="20"/>
          <w:color w:val="auto"/>
        </w:rPr>
      </w:pPr>
      <w:r>
        <w:rPr>
          <w:rFonts w:ascii="Times New Roman" w:cs="Times New Roman" w:eastAsia="Times New Roman" w:hAnsi="Times New Roman"/>
          <w:sz w:val="17"/>
          <w:szCs w:val="17"/>
          <w:color w:val="auto"/>
        </w:rPr>
        <w:t>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and shall destroy such canceled Securities (subject to the record retention requirement of the Exchange Act and the Trustee) and deliver a certificate of such cancellation to the Company upon written request of the Company. The Company may not issue new Securities to replace Securities that it has paid or delivered to the Trustee for cancellation.</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0340"/>
          </w:cols>
          <w:pgMar w:left="740" w:top="263" w:right="819" w:bottom="1440" w:gutter="0" w:footer="0" w:header="0"/>
        </w:sectPr>
      </w:pPr>
    </w:p>
    <w:bookmarkStart w:id="134" w:name="page135"/>
    <w:bookmarkEnd w:id="134"/>
    <w:p>
      <w:pPr>
        <w:ind w:left="4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2">
                      <a:extLst>
                        <a:ext uri="{28A0092B-C50C-407E-A947-70E740481C1C}"/>
                      </a:extLst>
                    </a:blip>
                    <a:srcRect/>
                    <a:stretch>
                      <a:fillRect/>
                    </a:stretch>
                  </pic:blipFill>
                  <pic:spPr bwMode="auto">
                    <a:xfrm>
                      <a:off x="0" y="0"/>
                      <a:ext cx="7181850" cy="36830"/>
                    </a:xfrm>
                    <a:prstGeom prst="rect">
                      <a:avLst/>
                    </a:prstGeom>
                    <a:noFill/>
                  </pic:spPr>
                </pic:pic>
              </a:graphicData>
            </a:graphic>
          </wp:anchor>
        </w:drawing>
        <w:t xml:space="preserve">Section 2.13 </w:t>
      </w:r>
      <w:r>
        <w:rPr>
          <w:rFonts w:ascii="Times New Roman" w:cs="Times New Roman" w:eastAsia="Times New Roman" w:hAnsi="Times New Roman"/>
          <w:sz w:val="17"/>
          <w:szCs w:val="17"/>
          <w:u w:val="single" w:color="auto"/>
          <w:color w:val="auto"/>
        </w:rPr>
        <w:t>Defaulted Interest</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80" w:firstLine="416"/>
        <w:spacing w:after="0" w:line="257" w:lineRule="auto"/>
        <w:rPr>
          <w:sz w:val="20"/>
          <w:szCs w:val="20"/>
          <w:color w:val="auto"/>
        </w:rPr>
      </w:pPr>
      <w:r>
        <w:rPr>
          <w:rFonts w:ascii="Times New Roman" w:cs="Times New Roman" w:eastAsia="Times New Roman" w:hAnsi="Times New Roman"/>
          <w:sz w:val="17"/>
          <w:szCs w:val="17"/>
          <w:color w:val="auto"/>
        </w:rPr>
        <w:t>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 The Company shall fix the record date and payment date. At least 10 days before the special record date, the Company shall send to the Trustee and to each Securityholder of the Series a notice that states the special record date, the payment date and the amount of interest to be paid. The Company may pay defaulted interest in any other lawful manner.</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2.14 </w:t>
      </w:r>
      <w:r>
        <w:rPr>
          <w:rFonts w:ascii="Times New Roman" w:cs="Times New Roman" w:eastAsia="Times New Roman" w:hAnsi="Times New Roman"/>
          <w:sz w:val="17"/>
          <w:szCs w:val="17"/>
          <w:u w:val="single" w:color="auto"/>
          <w:color w:val="auto"/>
        </w:rPr>
        <w:t>Global Securities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20" w:firstLine="416"/>
        <w:spacing w:after="0" w:line="311" w:lineRule="auto"/>
        <w:rPr>
          <w:sz w:val="20"/>
          <w:szCs w:val="20"/>
          <w:color w:val="auto"/>
        </w:rPr>
      </w:pPr>
      <w:r>
        <w:rPr>
          <w:rFonts w:ascii="Times New Roman" w:cs="Times New Roman" w:eastAsia="Times New Roman" w:hAnsi="Times New Roman"/>
          <w:sz w:val="16"/>
          <w:szCs w:val="16"/>
          <w:color w:val="auto"/>
        </w:rPr>
        <w:t xml:space="preserve">2.14.1 </w:t>
      </w:r>
      <w:r>
        <w:rPr>
          <w:rFonts w:ascii="Times New Roman" w:cs="Times New Roman" w:eastAsia="Times New Roman" w:hAnsi="Times New Roman"/>
          <w:sz w:val="16"/>
          <w:szCs w:val="16"/>
          <w:u w:val="single" w:color="auto"/>
          <w:color w:val="auto"/>
        </w:rPr>
        <w:t>Terms of Securities</w:t>
      </w:r>
      <w:r>
        <w:rPr>
          <w:rFonts w:ascii="Times New Roman" w:cs="Times New Roman" w:eastAsia="Times New Roman" w:hAnsi="Times New Roman"/>
          <w:sz w:val="16"/>
          <w:szCs w:val="16"/>
          <w:color w:val="auto"/>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134"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7"/>
          <w:szCs w:val="17"/>
          <w:color w:val="auto"/>
        </w:rPr>
        <w:t xml:space="preserve">2.14.2 </w:t>
      </w:r>
      <w:r>
        <w:rPr>
          <w:rFonts w:ascii="Times New Roman" w:cs="Times New Roman" w:eastAsia="Times New Roman" w:hAnsi="Times New Roman"/>
          <w:sz w:val="17"/>
          <w:szCs w:val="17"/>
          <w:u w:val="single" w:color="auto"/>
          <w:color w:val="auto"/>
        </w:rPr>
        <w:t>Transfer and Exchange</w:t>
      </w:r>
      <w:r>
        <w:rPr>
          <w:rFonts w:ascii="Times New Roman" w:cs="Times New Roman" w:eastAsia="Times New Roman" w:hAnsi="Times New Roman"/>
          <w:sz w:val="17"/>
          <w:szCs w:val="17"/>
          <w:color w:val="auto"/>
        </w:rPr>
        <w:t>.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179" w:lineRule="exact"/>
        <w:rPr>
          <w:sz w:val="20"/>
          <w:szCs w:val="20"/>
          <w:color w:val="auto"/>
        </w:rPr>
      </w:pPr>
    </w:p>
    <w:p>
      <w:pPr>
        <w:ind w:firstLine="416"/>
        <w:spacing w:after="0" w:line="264" w:lineRule="auto"/>
        <w:rPr>
          <w:sz w:val="20"/>
          <w:szCs w:val="20"/>
          <w:color w:val="auto"/>
        </w:rPr>
      </w:pPr>
      <w:r>
        <w:rPr>
          <w:rFonts w:ascii="Times New Roman" w:cs="Times New Roman" w:eastAsia="Times New Roman" w:hAnsi="Times New Roman"/>
          <w:sz w:val="17"/>
          <w:szCs w:val="17"/>
          <w:color w:val="auto"/>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2.14.3 </w:t>
      </w:r>
      <w:r>
        <w:rPr>
          <w:rFonts w:ascii="Times New Roman" w:cs="Times New Roman" w:eastAsia="Times New Roman" w:hAnsi="Times New Roman"/>
          <w:sz w:val="17"/>
          <w:szCs w:val="17"/>
          <w:u w:val="single" w:color="auto"/>
          <w:color w:val="auto"/>
        </w:rPr>
        <w:t>Legends</w:t>
      </w:r>
      <w:r>
        <w:rPr>
          <w:rFonts w:ascii="Times New Roman" w:cs="Times New Roman" w:eastAsia="Times New Roman" w:hAnsi="Times New Roman"/>
          <w:sz w:val="17"/>
          <w:szCs w:val="17"/>
          <w:color w:val="auto"/>
        </w:rPr>
        <w:t>. Any Global Security issued hereunder shall bear a legend in substantially the following form:</w:t>
      </w:r>
    </w:p>
    <w:p>
      <w:pPr>
        <w:spacing w:after="0" w:line="212" w:lineRule="exact"/>
        <w:rPr>
          <w:sz w:val="20"/>
          <w:szCs w:val="20"/>
          <w:color w:val="auto"/>
        </w:rPr>
      </w:pPr>
    </w:p>
    <w:p>
      <w:pPr>
        <w:ind w:firstLine="416"/>
        <w:spacing w:after="0" w:line="255" w:lineRule="auto"/>
        <w:rPr>
          <w:sz w:val="20"/>
          <w:szCs w:val="20"/>
          <w:color w:val="auto"/>
        </w:rPr>
      </w:pPr>
      <w:r>
        <w:rPr>
          <w:rFonts w:ascii="Times New Roman" w:cs="Times New Roman" w:eastAsia="Times New Roman" w:hAnsi="Times New Roman"/>
          <w:sz w:val="17"/>
          <w:szCs w:val="17"/>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0280"/>
          </w:cols>
          <w:pgMar w:left="740" w:top="263" w:right="879" w:bottom="1440" w:gutter="0" w:footer="0" w:header="0"/>
        </w:sectPr>
      </w:pPr>
    </w:p>
    <w:bookmarkStart w:id="135" w:name="page136"/>
    <w:bookmarkEnd w:id="135"/>
    <w:p>
      <w:pPr>
        <w:ind w:right="100" w:firstLine="416"/>
        <w:spacing w:after="0" w:line="27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3">
                      <a:extLst>
                        <a:ext uri="{28A0092B-C50C-407E-A947-70E740481C1C}"/>
                      </a:extLst>
                    </a:blip>
                    <a:srcRect/>
                    <a:stretch>
                      <a:fillRect/>
                    </a:stretch>
                  </pic:blipFill>
                  <pic:spPr bwMode="auto">
                    <a:xfrm>
                      <a:off x="0" y="0"/>
                      <a:ext cx="7181850" cy="36830"/>
                    </a:xfrm>
                    <a:prstGeom prst="rect">
                      <a:avLst/>
                    </a:prstGeom>
                    <a:noFill/>
                  </pic:spPr>
                </pic:pic>
              </a:graphicData>
            </a:graphic>
          </wp:anchor>
        </w:drawing>
        <w:t>In addition, so long as the Depository Trust Company (“DTC”) is the Depositary, each Global Note registered in the name of DTC or its nominee shall bear a legend in substantially the following form:</w:t>
      </w:r>
    </w:p>
    <w:p>
      <w:pPr>
        <w:spacing w:after="0" w:line="157" w:lineRule="exact"/>
        <w:rPr>
          <w:sz w:val="20"/>
          <w:szCs w:val="20"/>
          <w:color w:val="auto"/>
        </w:rPr>
      </w:pPr>
    </w:p>
    <w:p>
      <w:pPr>
        <w:ind w:firstLine="416"/>
        <w:spacing w:after="0" w:line="255" w:lineRule="auto"/>
        <w:rPr>
          <w:sz w:val="20"/>
          <w:szCs w:val="20"/>
          <w:color w:val="auto"/>
        </w:rPr>
      </w:pPr>
      <w:r>
        <w:rPr>
          <w:rFonts w:ascii="Times New Roman" w:cs="Times New Roman" w:eastAsia="Times New Roman" w:hAnsi="Times New Roman"/>
          <w:sz w:val="17"/>
          <w:szCs w:val="17"/>
          <w:color w:val="auto"/>
        </w:rPr>
        <w:t>“UNLESS THIS GLOBAL NOTE IS PRESENTED BY AN AUTHORIZED REPRESENTATIVE OF THE DEPOSITORY TRUST COMPANY, A NEW YORK CORPORATION (“DTC”), TO THE COMPANY OR ITS AGENT FOR REGISTRATION OF TRANSFER, EXCHANGE OR PAYMENT, AND ANY GLOBAL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76" w:lineRule="exact"/>
        <w:rPr>
          <w:sz w:val="20"/>
          <w:szCs w:val="20"/>
          <w:color w:val="auto"/>
        </w:rPr>
      </w:pPr>
    </w:p>
    <w:p>
      <w:pPr>
        <w:ind w:right="60" w:firstLine="416"/>
        <w:spacing w:after="0" w:line="279" w:lineRule="auto"/>
        <w:rPr>
          <w:sz w:val="20"/>
          <w:szCs w:val="20"/>
          <w:color w:val="auto"/>
        </w:rPr>
      </w:pPr>
      <w:r>
        <w:rPr>
          <w:rFonts w:ascii="Times New Roman" w:cs="Times New Roman" w:eastAsia="Times New Roman" w:hAnsi="Times New Roman"/>
          <w:sz w:val="17"/>
          <w:szCs w:val="17"/>
          <w:color w:val="auto"/>
        </w:rPr>
        <w:t xml:space="preserve">2.14.4 </w:t>
      </w:r>
      <w:r>
        <w:rPr>
          <w:rFonts w:ascii="Times New Roman" w:cs="Times New Roman" w:eastAsia="Times New Roman" w:hAnsi="Times New Roman"/>
          <w:sz w:val="17"/>
          <w:szCs w:val="17"/>
          <w:u w:val="single" w:color="auto"/>
          <w:color w:val="auto"/>
        </w:rPr>
        <w:t>Acts of Holders</w:t>
      </w:r>
      <w:r>
        <w:rPr>
          <w:rFonts w:ascii="Times New Roman" w:cs="Times New Roman" w:eastAsia="Times New Roman" w:hAnsi="Times New Roman"/>
          <w:sz w:val="17"/>
          <w:szCs w:val="17"/>
          <w:color w:val="auto"/>
        </w:rPr>
        <w:t>.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157" w:lineRule="exact"/>
        <w:rPr>
          <w:sz w:val="20"/>
          <w:szCs w:val="20"/>
          <w:color w:val="auto"/>
        </w:rPr>
      </w:pPr>
    </w:p>
    <w:p>
      <w:pPr>
        <w:ind w:right="200" w:firstLine="416"/>
        <w:spacing w:after="0" w:line="279" w:lineRule="auto"/>
        <w:rPr>
          <w:sz w:val="20"/>
          <w:szCs w:val="20"/>
          <w:color w:val="auto"/>
        </w:rPr>
      </w:pPr>
      <w:r>
        <w:rPr>
          <w:rFonts w:ascii="Times New Roman" w:cs="Times New Roman" w:eastAsia="Times New Roman" w:hAnsi="Times New Roman"/>
          <w:sz w:val="17"/>
          <w:szCs w:val="17"/>
          <w:color w:val="auto"/>
        </w:rPr>
        <w:t xml:space="preserve">2.14.5 </w:t>
      </w:r>
      <w:r>
        <w:rPr>
          <w:rFonts w:ascii="Times New Roman" w:cs="Times New Roman" w:eastAsia="Times New Roman" w:hAnsi="Times New Roman"/>
          <w:sz w:val="17"/>
          <w:szCs w:val="17"/>
          <w:u w:val="single" w:color="auto"/>
          <w:color w:val="auto"/>
        </w:rPr>
        <w:t>Payments</w:t>
      </w:r>
      <w:r>
        <w:rPr>
          <w:rFonts w:ascii="Times New Roman" w:cs="Times New Roman" w:eastAsia="Times New Roman" w:hAnsi="Times New Roman"/>
          <w:sz w:val="17"/>
          <w:szCs w:val="17"/>
          <w:color w:val="auto"/>
        </w:rPr>
        <w:t>. Notwithstanding the other provisions of this Indenture, unless otherwise specified as contemplated by Section 2.2, payment of the principal of and interest, if any, on any Global Security shall be made to the Holder thereof.</w:t>
      </w:r>
    </w:p>
    <w:p>
      <w:pPr>
        <w:spacing w:after="0" w:line="157" w:lineRule="exact"/>
        <w:rPr>
          <w:sz w:val="20"/>
          <w:szCs w:val="20"/>
          <w:color w:val="auto"/>
        </w:rPr>
      </w:pPr>
    </w:p>
    <w:p>
      <w:pPr>
        <w:ind w:right="60" w:firstLine="416"/>
        <w:spacing w:after="0" w:line="259" w:lineRule="auto"/>
        <w:rPr>
          <w:sz w:val="20"/>
          <w:szCs w:val="20"/>
          <w:color w:val="auto"/>
        </w:rPr>
      </w:pPr>
      <w:r>
        <w:rPr>
          <w:rFonts w:ascii="Times New Roman" w:cs="Times New Roman" w:eastAsia="Times New Roman" w:hAnsi="Times New Roman"/>
          <w:sz w:val="17"/>
          <w:szCs w:val="17"/>
          <w:color w:val="auto"/>
        </w:rPr>
        <w:t xml:space="preserve">2.14.6 </w:t>
      </w:r>
      <w:r>
        <w:rPr>
          <w:rFonts w:ascii="Times New Roman" w:cs="Times New Roman" w:eastAsia="Times New Roman" w:hAnsi="Times New Roman"/>
          <w:sz w:val="17"/>
          <w:szCs w:val="17"/>
          <w:u w:val="single" w:color="auto"/>
          <w:color w:val="auto"/>
        </w:rPr>
        <w:t>Consents, Declaration and Directions</w:t>
      </w:r>
      <w:r>
        <w:rPr>
          <w:rFonts w:ascii="Times New Roman" w:cs="Times New Roman" w:eastAsia="Times New Roman" w:hAnsi="Times New Roman"/>
          <w:sz w:val="17"/>
          <w:szCs w:val="17"/>
          <w:color w:val="auto"/>
        </w:rPr>
        <w:t>. The Company, the Trustee and any Agent shall treat a person as the Holder of such principal amount of outstanding Securities of such Series represented by a Global Security as shall be specified in a written statement of the Depositary or by the applicable procedures of such Depositary with respect to such Global Security, for purposes of obtaining any consents, declarations, waivers or directions required to be given by the Holders pursuant to this Indenture.</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2.15 </w:t>
      </w:r>
      <w:r>
        <w:rPr>
          <w:rFonts w:ascii="Times New Roman" w:cs="Times New Roman" w:eastAsia="Times New Roman" w:hAnsi="Times New Roman"/>
          <w:sz w:val="17"/>
          <w:szCs w:val="17"/>
          <w:u w:val="single" w:color="auto"/>
          <w:color w:val="auto"/>
        </w:rPr>
        <w:t>CUSIP Numbers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80" w:firstLine="416"/>
        <w:spacing w:after="0" w:line="259" w:lineRule="auto"/>
        <w:rPr>
          <w:sz w:val="20"/>
          <w:szCs w:val="20"/>
          <w:color w:val="auto"/>
        </w:rPr>
      </w:pPr>
      <w:r>
        <w:rPr>
          <w:rFonts w:ascii="Times New Roman" w:cs="Times New Roman" w:eastAsia="Times New Roman" w:hAnsi="Times New Roman"/>
          <w:sz w:val="17"/>
          <w:szCs w:val="17"/>
          <w:color w:val="auto"/>
        </w:rPr>
        <w:t>The Company in issuing the Securities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0400"/>
          </w:cols>
          <w:pgMar w:left="740" w:top="263" w:right="759" w:bottom="1440" w:gutter="0" w:footer="0" w:header="0"/>
        </w:sectPr>
      </w:pPr>
    </w:p>
    <w:bookmarkStart w:id="136" w:name="page137"/>
    <w:bookmarkEnd w:id="136"/>
    <w:p>
      <w:pPr>
        <w:jc w:val="center"/>
        <w:ind w:right="-1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4">
                      <a:extLst>
                        <a:ext uri="{28A0092B-C50C-407E-A947-70E740481C1C}"/>
                      </a:extLst>
                    </a:blip>
                    <a:srcRect/>
                    <a:stretch>
                      <a:fillRect/>
                    </a:stretch>
                  </pic:blipFill>
                  <pic:spPr bwMode="auto">
                    <a:xfrm>
                      <a:off x="0" y="0"/>
                      <a:ext cx="7181850" cy="36830"/>
                    </a:xfrm>
                    <a:prstGeom prst="rect">
                      <a:avLst/>
                    </a:prstGeom>
                    <a:noFill/>
                  </pic:spPr>
                </pic:pic>
              </a:graphicData>
            </a:graphic>
          </wp:anchor>
        </w:drawing>
        <w:t>ARTICLE III.</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REDEMPTION</w:t>
      </w:r>
    </w:p>
    <w:p>
      <w:pPr>
        <w:spacing w:after="0" w:line="1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3.1 </w:t>
      </w:r>
      <w:r>
        <w:rPr>
          <w:rFonts w:ascii="Times New Roman" w:cs="Times New Roman" w:eastAsia="Times New Roman" w:hAnsi="Times New Roman"/>
          <w:sz w:val="17"/>
          <w:szCs w:val="17"/>
          <w:u w:val="single" w:color="auto"/>
          <w:color w:val="auto"/>
        </w:rPr>
        <w:t>Notice to Trustee</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80" w:firstLine="416"/>
        <w:spacing w:after="0" w:line="255" w:lineRule="auto"/>
        <w:rPr>
          <w:sz w:val="20"/>
          <w:szCs w:val="20"/>
          <w:color w:val="auto"/>
        </w:rPr>
      </w:pPr>
      <w:r>
        <w:rPr>
          <w:rFonts w:ascii="Times New Roman" w:cs="Times New Roman" w:eastAsia="Times New Roman" w:hAnsi="Times New Roman"/>
          <w:sz w:val="17"/>
          <w:szCs w:val="17"/>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Series of Securities to be redeemed. The Company shall give the notice at least 15 days before the redemption date, unless a shorter period is satisfactory to the Trustee.</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3.2 </w:t>
      </w:r>
      <w:r>
        <w:rPr>
          <w:rFonts w:ascii="Times New Roman" w:cs="Times New Roman" w:eastAsia="Times New Roman" w:hAnsi="Times New Roman"/>
          <w:sz w:val="17"/>
          <w:szCs w:val="17"/>
          <w:u w:val="single" w:color="auto"/>
          <w:color w:val="auto"/>
        </w:rPr>
        <w:t>Selection of Securities to be Redeemed</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20" w:firstLine="416"/>
        <w:spacing w:after="0" w:line="270" w:lineRule="auto"/>
        <w:rPr>
          <w:sz w:val="20"/>
          <w:szCs w:val="20"/>
          <w:color w:val="auto"/>
        </w:rPr>
      </w:pPr>
      <w:r>
        <w:rPr>
          <w:rFonts w:ascii="Times New Roman" w:cs="Times New Roman" w:eastAsia="Times New Roman" w:hAnsi="Times New Roman"/>
          <w:sz w:val="16"/>
          <w:szCs w:val="16"/>
          <w:color w:val="auto"/>
        </w:rPr>
        <w:t>Unless otherwise indicated for a particular Series by a Board Resolution, a supplemental indenture hereto or an Officer’s Certificate, if less than all the Securities of a Series are to be redeemed, the Securities of the Series to be redeemed will be selected as follows: (a) if the Securities are in the form of Global Securities, in accordance with the procedures of the Depositary, (b) if the Securities are listed on any national securities exchange, in compliance with the requirements of the principal national securities exchange, if any, on which the Securities are listed, or (c) if not otherwise provided for under clause (a) or (b) in the manner that the Trustee deems fair and appropriate, including by lot or other method, unless otherwise required by law or applicable stock exchange requirements, subject, in the case of Global Securities, to the applicable rules and procedures of the Depositary. The Securities to be redeemed shall be selected from Securities of the Series outstanding not previously called for redemption. Portions of the principal of Securities of the Series that have denominations larger than $1,000 may be selected for redemption. Securities of the Series and portions of them it selected for redemption shall be in amounts of $1,000 or whole multiples of $1,000 or, with respect to Securities of any Series issuable in other denominations pursuant to Section 2.2.10, the minimum principal denomination for each Series and the authorized integral multiples thereof. Provisions of this Indenture that apply to Securities of a Series called for redemption also apply to portions of Securities of that Series called for redemption.</w:t>
      </w:r>
    </w:p>
    <w:p>
      <w:pPr>
        <w:spacing w:after="0" w:line="1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3.3 </w:t>
      </w:r>
      <w:r>
        <w:rPr>
          <w:rFonts w:ascii="Times New Roman" w:cs="Times New Roman" w:eastAsia="Times New Roman" w:hAnsi="Times New Roman"/>
          <w:sz w:val="17"/>
          <w:szCs w:val="17"/>
          <w:u w:val="single" w:color="auto"/>
          <w:color w:val="auto"/>
        </w:rPr>
        <w:t>Notice of Redemption</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firstLine="416"/>
        <w:spacing w:after="0" w:line="264" w:lineRule="auto"/>
        <w:rPr>
          <w:sz w:val="20"/>
          <w:szCs w:val="20"/>
          <w:color w:val="auto"/>
        </w:rPr>
      </w:pPr>
      <w:r>
        <w:rPr>
          <w:rFonts w:ascii="Times New Roman" w:cs="Times New Roman" w:eastAsia="Times New Roman" w:hAnsi="Times New Roman"/>
          <w:sz w:val="17"/>
          <w:szCs w:val="17"/>
          <w:color w:val="auto"/>
        </w:rPr>
        <w:t>Unless otherwise indicated for a particular Series by Board Resolution, a supplemental indenture hereto or an Officer’s Certificate, at least 15 days but not more than 60 days before a redemption date, the Company shall send or cause to be sent by first-class mail or electronically, in accordance with the procedures of the Depositary, a notice of redemption to each Holder whose Securities are to be redeemed.</w:t>
      </w:r>
    </w:p>
    <w:p>
      <w:pPr>
        <w:spacing w:after="0" w:line="1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notice shall identify the Securities of the Series to be redeemed and shall state:</w:t>
      </w:r>
    </w:p>
    <w:p>
      <w:pPr>
        <w:spacing w:after="0" w:line="11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(a) the redemption date;</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0380"/>
          </w:cols>
          <w:pgMar w:left="740" w:top="263" w:right="779" w:bottom="1440" w:gutter="0" w:footer="0" w:header="0"/>
        </w:sectPr>
      </w:pPr>
    </w:p>
    <w:bookmarkStart w:id="137" w:name="page138"/>
    <w:bookmarkEnd w:id="137"/>
    <w:p>
      <w:pPr>
        <w:ind w:left="1060" w:hanging="237"/>
        <w:spacing w:after="0"/>
        <w:tabs>
          <w:tab w:leader="none" w:pos="106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5">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the redemption price;</w:t>
      </w:r>
    </w:p>
    <w:p>
      <w:pPr>
        <w:spacing w:after="0" w:line="110" w:lineRule="exact"/>
        <w:rPr>
          <w:rFonts w:ascii="Times New Roman" w:cs="Times New Roman" w:eastAsia="Times New Roman" w:hAnsi="Times New Roman"/>
          <w:sz w:val="17"/>
          <w:szCs w:val="17"/>
          <w:color w:val="auto"/>
        </w:rPr>
      </w:pPr>
    </w:p>
    <w:p>
      <w:pPr>
        <w:ind w:left="1060" w:hanging="237"/>
        <w:spacing w:after="0"/>
        <w:tabs>
          <w:tab w:leader="none" w:pos="106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and address of the Paying Agent;</w:t>
      </w:r>
    </w:p>
    <w:p>
      <w:pPr>
        <w:spacing w:after="0" w:line="110" w:lineRule="exact"/>
        <w:rPr>
          <w:rFonts w:ascii="Times New Roman" w:cs="Times New Roman" w:eastAsia="Times New Roman" w:hAnsi="Times New Roman"/>
          <w:sz w:val="17"/>
          <w:szCs w:val="17"/>
          <w:color w:val="auto"/>
        </w:rPr>
      </w:pPr>
    </w:p>
    <w:p>
      <w:pPr>
        <w:jc w:val="both"/>
        <w:ind w:left="420" w:right="340" w:firstLine="403"/>
        <w:spacing w:after="0" w:line="264" w:lineRule="auto"/>
        <w:tabs>
          <w:tab w:leader="none" w:pos="1059"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w:t>
      </w:r>
    </w:p>
    <w:p>
      <w:pPr>
        <w:spacing w:after="0" w:line="68" w:lineRule="exact"/>
        <w:rPr>
          <w:rFonts w:ascii="Times New Roman" w:cs="Times New Roman" w:eastAsia="Times New Roman" w:hAnsi="Times New Roman"/>
          <w:sz w:val="17"/>
          <w:szCs w:val="17"/>
          <w:color w:val="auto"/>
        </w:rPr>
      </w:pPr>
    </w:p>
    <w:p>
      <w:pPr>
        <w:ind w:left="1060" w:hanging="237"/>
        <w:spacing w:after="0"/>
        <w:tabs>
          <w:tab w:leader="none" w:pos="106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Securities of the Series called for redemption must be surrendered to the Paying Agent to collect the redemption price;</w:t>
      </w:r>
    </w:p>
    <w:p>
      <w:pPr>
        <w:spacing w:after="0" w:line="110" w:lineRule="exact"/>
        <w:rPr>
          <w:rFonts w:ascii="Times New Roman" w:cs="Times New Roman" w:eastAsia="Times New Roman" w:hAnsi="Times New Roman"/>
          <w:sz w:val="17"/>
          <w:szCs w:val="17"/>
          <w:color w:val="auto"/>
        </w:rPr>
      </w:pPr>
    </w:p>
    <w:p>
      <w:pPr>
        <w:ind w:left="420" w:right="440" w:firstLine="403"/>
        <w:spacing w:after="0" w:line="279" w:lineRule="auto"/>
        <w:tabs>
          <w:tab w:leader="none" w:pos="1031"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interest on Securities of the Series called for redemption ceases to accrue on and after the redemption date unless the Company defaults in the deposit of the redemption price;</w:t>
      </w:r>
    </w:p>
    <w:p>
      <w:pPr>
        <w:spacing w:after="0" w:line="54" w:lineRule="exact"/>
        <w:rPr>
          <w:rFonts w:ascii="Times New Roman" w:cs="Times New Roman" w:eastAsia="Times New Roman" w:hAnsi="Times New Roman"/>
          <w:sz w:val="17"/>
          <w:szCs w:val="17"/>
          <w:color w:val="auto"/>
        </w:rPr>
      </w:pPr>
    </w:p>
    <w:p>
      <w:pPr>
        <w:ind w:left="1060" w:hanging="237"/>
        <w:spacing w:after="0"/>
        <w:tabs>
          <w:tab w:leader="none" w:pos="106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CUSIP number, if any; and</w:t>
      </w:r>
    </w:p>
    <w:p>
      <w:pPr>
        <w:spacing w:after="0" w:line="110" w:lineRule="exact"/>
        <w:rPr>
          <w:rFonts w:ascii="Times New Roman" w:cs="Times New Roman" w:eastAsia="Times New Roman" w:hAnsi="Times New Roman"/>
          <w:sz w:val="17"/>
          <w:szCs w:val="17"/>
          <w:color w:val="auto"/>
        </w:rPr>
      </w:pPr>
    </w:p>
    <w:p>
      <w:pPr>
        <w:ind w:left="1060" w:hanging="237"/>
        <w:spacing w:after="0"/>
        <w:tabs>
          <w:tab w:leader="none" w:pos="106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information as may be required by the terms of the particular Series or the Securities of a Series being redeemed.</w:t>
      </w:r>
    </w:p>
    <w:p>
      <w:pPr>
        <w:spacing w:after="0" w:line="212" w:lineRule="exact"/>
        <w:rPr>
          <w:sz w:val="20"/>
          <w:szCs w:val="20"/>
          <w:color w:val="auto"/>
        </w:rPr>
      </w:pPr>
    </w:p>
    <w:p>
      <w:pPr>
        <w:ind w:right="120" w:firstLine="416"/>
        <w:spacing w:after="0" w:line="264" w:lineRule="auto"/>
        <w:rPr>
          <w:sz w:val="20"/>
          <w:szCs w:val="20"/>
          <w:color w:val="auto"/>
        </w:rPr>
      </w:pPr>
      <w:r>
        <w:rPr>
          <w:rFonts w:ascii="Times New Roman" w:cs="Times New Roman" w:eastAsia="Times New Roman" w:hAnsi="Times New Roman"/>
          <w:sz w:val="17"/>
          <w:szCs w:val="17"/>
          <w:color w:val="auto"/>
        </w:rPr>
        <w:t>At the Company’s request, the Trustee shall give the notice of redemption in the Company’s name and at its expense, provided, however, that the Company has delivered to the Trustee, at least 10 days (unless a shorter time shall be acceptable to the Trustee) prior to the notice date, an Officer’s Certificate requesting that the Trustee give such notice and setting forth the information to be stated in such notice.</w:t>
      </w:r>
    </w:p>
    <w:p>
      <w:pPr>
        <w:spacing w:after="0" w:line="1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3.4 </w:t>
      </w:r>
      <w:r>
        <w:rPr>
          <w:rFonts w:ascii="Times New Roman" w:cs="Times New Roman" w:eastAsia="Times New Roman" w:hAnsi="Times New Roman"/>
          <w:sz w:val="17"/>
          <w:szCs w:val="17"/>
          <w:u w:val="single" w:color="auto"/>
          <w:color w:val="auto"/>
        </w:rPr>
        <w:t>Effect of Notice of Redemption</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firstLine="416"/>
        <w:spacing w:after="0" w:line="259" w:lineRule="auto"/>
        <w:rPr>
          <w:sz w:val="20"/>
          <w:szCs w:val="20"/>
          <w:color w:val="auto"/>
        </w:rPr>
      </w:pPr>
      <w:r>
        <w:rPr>
          <w:rFonts w:ascii="Times New Roman" w:cs="Times New Roman" w:eastAsia="Times New Roman" w:hAnsi="Times New Roman"/>
          <w:sz w:val="17"/>
          <w:szCs w:val="17"/>
          <w:color w:val="auto"/>
        </w:rPr>
        <w:t>Once notice of redemption is sent as provided in Section 3.3,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3.5 </w:t>
      </w:r>
      <w:r>
        <w:rPr>
          <w:rFonts w:ascii="Times New Roman" w:cs="Times New Roman" w:eastAsia="Times New Roman" w:hAnsi="Times New Roman"/>
          <w:sz w:val="17"/>
          <w:szCs w:val="17"/>
          <w:u w:val="single" w:color="auto"/>
          <w:color w:val="auto"/>
        </w:rPr>
        <w:t>Deposit of Redemption Price</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140" w:firstLine="416"/>
        <w:spacing w:after="0" w:line="279" w:lineRule="auto"/>
        <w:rPr>
          <w:sz w:val="20"/>
          <w:szCs w:val="20"/>
          <w:color w:val="auto"/>
        </w:rPr>
      </w:pPr>
      <w:r>
        <w:rPr>
          <w:rFonts w:ascii="Times New Roman" w:cs="Times New Roman" w:eastAsia="Times New Roman" w:hAnsi="Times New Roman"/>
          <w:sz w:val="17"/>
          <w:szCs w:val="17"/>
          <w:color w:val="auto"/>
        </w:rPr>
        <w:t>On or before 11:00 a.m., New York City time, on the redemption date, the Company shall deposit with the Paying Agent money sufficient to pay the redemption price of and accrued interest, if any, on all Securities to be redeemed on that date.</w:t>
      </w:r>
    </w:p>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3.6 </w:t>
      </w:r>
      <w:r>
        <w:rPr>
          <w:rFonts w:ascii="Times New Roman" w:cs="Times New Roman" w:eastAsia="Times New Roman" w:hAnsi="Times New Roman"/>
          <w:sz w:val="17"/>
          <w:szCs w:val="17"/>
          <w:u w:val="single" w:color="auto"/>
          <w:color w:val="auto"/>
        </w:rPr>
        <w:t>Securities Redeemed in Part</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20" w:firstLine="416"/>
        <w:spacing w:after="0" w:line="279" w:lineRule="auto"/>
        <w:rPr>
          <w:sz w:val="20"/>
          <w:szCs w:val="20"/>
          <w:color w:val="auto"/>
        </w:rPr>
      </w:pPr>
      <w:r>
        <w:rPr>
          <w:rFonts w:ascii="Times New Roman" w:cs="Times New Roman" w:eastAsia="Times New Roman" w:hAnsi="Times New Roman"/>
          <w:sz w:val="17"/>
          <w:szCs w:val="17"/>
          <w:color w:val="auto"/>
        </w:rPr>
        <w:t>Upon surrender of a Security that is redeemed in part, the Trustee shall authenticate for the Holder a new Security of the same Series and the same maturity equal in principal amount to the unredeemed portion of the Security surrendered.</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0380"/>
          </w:cols>
          <w:pgMar w:left="740" w:top="263" w:right="779" w:bottom="1440" w:gutter="0" w:footer="0" w:header="0"/>
        </w:sectPr>
      </w:pPr>
    </w:p>
    <w:bookmarkStart w:id="138" w:name="page139"/>
    <w:bookmarkEnd w:id="138"/>
    <w:p>
      <w:pPr>
        <w:ind w:left="47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6">
                      <a:extLst>
                        <a:ext uri="{28A0092B-C50C-407E-A947-70E740481C1C}"/>
                      </a:extLst>
                    </a:blip>
                    <a:srcRect/>
                    <a:stretch>
                      <a:fillRect/>
                    </a:stretch>
                  </pic:blipFill>
                  <pic:spPr bwMode="auto">
                    <a:xfrm>
                      <a:off x="0" y="0"/>
                      <a:ext cx="7181850" cy="36830"/>
                    </a:xfrm>
                    <a:prstGeom prst="rect">
                      <a:avLst/>
                    </a:prstGeom>
                    <a:noFill/>
                  </pic:spPr>
                </pic:pic>
              </a:graphicData>
            </a:graphic>
          </wp:anchor>
        </w:drawing>
        <w:t>ARTICLE IV.</w:t>
      </w:r>
    </w:p>
    <w:p>
      <w:pPr>
        <w:spacing w:after="0" w:line="2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7"/>
          <w:szCs w:val="17"/>
          <w:color w:val="auto"/>
        </w:rPr>
        <w:t>COVENANTS</w:t>
      </w:r>
    </w:p>
    <w:p>
      <w:pPr>
        <w:spacing w:after="0" w:line="1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4.1 </w:t>
      </w:r>
      <w:r>
        <w:rPr>
          <w:rFonts w:ascii="Times New Roman" w:cs="Times New Roman" w:eastAsia="Times New Roman" w:hAnsi="Times New Roman"/>
          <w:sz w:val="17"/>
          <w:szCs w:val="17"/>
          <w:u w:val="single" w:color="auto"/>
          <w:color w:val="auto"/>
        </w:rPr>
        <w:t>Payment of Principal and Interest</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120" w:firstLine="416"/>
        <w:spacing w:after="0" w:line="259" w:lineRule="auto"/>
        <w:rPr>
          <w:sz w:val="20"/>
          <w:szCs w:val="20"/>
          <w:color w:val="auto"/>
        </w:rPr>
      </w:pPr>
      <w:r>
        <w:rPr>
          <w:rFonts w:ascii="Times New Roman" w:cs="Times New Roman" w:eastAsia="Times New Roman" w:hAnsi="Times New Roman"/>
          <w:sz w:val="17"/>
          <w:szCs w:val="17"/>
          <w:color w:val="auto"/>
        </w:rPr>
        <w:t>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4.2 </w:t>
      </w:r>
      <w:r>
        <w:rPr>
          <w:rFonts w:ascii="Times New Roman" w:cs="Times New Roman" w:eastAsia="Times New Roman" w:hAnsi="Times New Roman"/>
          <w:sz w:val="17"/>
          <w:szCs w:val="17"/>
          <w:u w:val="single" w:color="auto"/>
          <w:color w:val="auto"/>
        </w:rPr>
        <w:t>SEC Reports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60" w:firstLine="416"/>
        <w:spacing w:after="0" w:line="257" w:lineRule="auto"/>
        <w:rPr>
          <w:sz w:val="20"/>
          <w:szCs w:val="20"/>
          <w:color w:val="auto"/>
        </w:rPr>
      </w:pPr>
      <w:r>
        <w:rPr>
          <w:rFonts w:ascii="Times New Roman" w:cs="Times New Roman" w:eastAsia="Times New Roman" w:hAnsi="Times New Roman"/>
          <w:sz w:val="17"/>
          <w:szCs w:val="17"/>
          <w:color w:val="auto"/>
        </w:rPr>
        <w:t>To the extent any Securities of a Series are outstanding, 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Reports, information and documents filed with the SEC via the EDGAR system will be deemed to be delivered to the Trustee as of the time of such filing via EDGAR for purposes of this Section 4.2.</w:t>
      </w:r>
    </w:p>
    <w:p>
      <w:pPr>
        <w:spacing w:after="0" w:line="176" w:lineRule="exact"/>
        <w:rPr>
          <w:sz w:val="20"/>
          <w:szCs w:val="20"/>
          <w:color w:val="auto"/>
        </w:rPr>
      </w:pPr>
    </w:p>
    <w:p>
      <w:pPr>
        <w:ind w:right="100" w:firstLine="416"/>
        <w:spacing w:after="0" w:line="259" w:lineRule="auto"/>
        <w:rPr>
          <w:sz w:val="20"/>
          <w:szCs w:val="20"/>
          <w:color w:val="auto"/>
        </w:rPr>
      </w:pPr>
      <w:r>
        <w:rPr>
          <w:rFonts w:ascii="Times New Roman" w:cs="Times New Roman" w:eastAsia="Times New Roman" w:hAnsi="Times New Roman"/>
          <w:sz w:val="17"/>
          <w:szCs w:val="17"/>
          <w:color w:val="auto"/>
        </w:rPr>
        <w:t>Delivery of reports, information and documents to the Trustee under this Section 4.2 are for informational purposes only and the Trustee’s receipt of the foregoing shall not constitute constructive or actual notice of any information contained therein or determinable from information contained therein, including the Company’s compliance with any of their covenants hereunder (as to which the Trustee is entitled to rely exclusively on Officer’s Certificates).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4.3 </w:t>
      </w:r>
      <w:r>
        <w:rPr>
          <w:rFonts w:ascii="Times New Roman" w:cs="Times New Roman" w:eastAsia="Times New Roman" w:hAnsi="Times New Roman"/>
          <w:sz w:val="17"/>
          <w:szCs w:val="17"/>
          <w:u w:val="single" w:color="auto"/>
          <w:color w:val="auto"/>
        </w:rPr>
        <w:t>Compliance Certificate</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firstLine="416"/>
        <w:spacing w:after="0" w:line="255" w:lineRule="auto"/>
        <w:rPr>
          <w:sz w:val="20"/>
          <w:szCs w:val="20"/>
          <w:color w:val="auto"/>
        </w:rPr>
      </w:pPr>
      <w:r>
        <w:rPr>
          <w:rFonts w:ascii="Times New Roman" w:cs="Times New Roman" w:eastAsia="Times New Roman" w:hAnsi="Times New Roman"/>
          <w:sz w:val="17"/>
          <w:szCs w:val="17"/>
          <w:color w:val="auto"/>
        </w:rPr>
        <w:t>To the extent any Securities of a Series are outstanding, 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0400"/>
          </w:cols>
          <w:pgMar w:left="740" w:top="263" w:right="759" w:bottom="1440" w:gutter="0" w:footer="0" w:header="0"/>
        </w:sectPr>
      </w:pPr>
    </w:p>
    <w:bookmarkStart w:id="139" w:name="page140"/>
    <w:bookmarkEnd w:id="139"/>
    <w:p>
      <w:pPr>
        <w:ind w:left="4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7">
                      <a:extLst>
                        <a:ext uri="{28A0092B-C50C-407E-A947-70E740481C1C}"/>
                      </a:extLst>
                    </a:blip>
                    <a:srcRect/>
                    <a:stretch>
                      <a:fillRect/>
                    </a:stretch>
                  </pic:blipFill>
                  <pic:spPr bwMode="auto">
                    <a:xfrm>
                      <a:off x="0" y="0"/>
                      <a:ext cx="7181850" cy="36830"/>
                    </a:xfrm>
                    <a:prstGeom prst="rect">
                      <a:avLst/>
                    </a:prstGeom>
                    <a:noFill/>
                  </pic:spPr>
                </pic:pic>
              </a:graphicData>
            </a:graphic>
          </wp:anchor>
        </w:drawing>
        <w:t xml:space="preserve">Section 4.4 </w:t>
      </w:r>
      <w:r>
        <w:rPr>
          <w:rFonts w:ascii="Times New Roman" w:cs="Times New Roman" w:eastAsia="Times New Roman" w:hAnsi="Times New Roman"/>
          <w:sz w:val="17"/>
          <w:szCs w:val="17"/>
          <w:u w:val="single" w:color="auto"/>
          <w:color w:val="auto"/>
        </w:rPr>
        <w:t>Stay, Extension and Usury Laws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firstLine="416"/>
        <w:spacing w:after="0" w:line="257" w:lineRule="auto"/>
        <w:rPr>
          <w:sz w:val="20"/>
          <w:szCs w:val="20"/>
          <w:color w:val="auto"/>
        </w:rPr>
      </w:pPr>
      <w:r>
        <w:rPr>
          <w:rFonts w:ascii="Times New Roman" w:cs="Times New Roman" w:eastAsia="Times New Roman" w:hAnsi="Times New Roman"/>
          <w:sz w:val="17"/>
          <w:szCs w:val="17"/>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ARTICLE V.</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SUCCESSORS</w:t>
      </w:r>
    </w:p>
    <w:p>
      <w:pPr>
        <w:spacing w:after="0" w:line="1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5.1 </w:t>
      </w:r>
      <w:r>
        <w:rPr>
          <w:rFonts w:ascii="Times New Roman" w:cs="Times New Roman" w:eastAsia="Times New Roman" w:hAnsi="Times New Roman"/>
          <w:sz w:val="17"/>
          <w:szCs w:val="17"/>
          <w:u w:val="single" w:color="auto"/>
          <w:color w:val="auto"/>
        </w:rPr>
        <w:t>When Company May Merge, Etc</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280" w:firstLine="416"/>
        <w:spacing w:after="0" w:line="279" w:lineRule="auto"/>
        <w:rPr>
          <w:sz w:val="20"/>
          <w:szCs w:val="20"/>
          <w:color w:val="auto"/>
        </w:rPr>
      </w:pPr>
      <w:r>
        <w:rPr>
          <w:rFonts w:ascii="Times New Roman" w:cs="Times New Roman" w:eastAsia="Times New Roman" w:hAnsi="Times New Roman"/>
          <w:sz w:val="17"/>
          <w:szCs w:val="17"/>
          <w:color w:val="auto"/>
        </w:rPr>
        <w:t>The Company shall not consolidate with or merge with or into, or convey, transfer or lease all or substantially all of its properties and assets to, any person (a “</w:t>
      </w:r>
      <w:r>
        <w:rPr>
          <w:rFonts w:ascii="Times New Roman" w:cs="Times New Roman" w:eastAsia="Times New Roman" w:hAnsi="Times New Roman"/>
          <w:sz w:val="17"/>
          <w:szCs w:val="17"/>
          <w:i w:val="1"/>
          <w:iCs w:val="1"/>
          <w:color w:val="auto"/>
        </w:rPr>
        <w:t>successor person</w:t>
      </w:r>
      <w:r>
        <w:rPr>
          <w:rFonts w:ascii="Times New Roman" w:cs="Times New Roman" w:eastAsia="Times New Roman" w:hAnsi="Times New Roman"/>
          <w:sz w:val="17"/>
          <w:szCs w:val="17"/>
          <w:color w:val="auto"/>
        </w:rPr>
        <w:t>”) unless:</w:t>
      </w:r>
    </w:p>
    <w:p>
      <w:pPr>
        <w:spacing w:after="0" w:line="55" w:lineRule="exact"/>
        <w:rPr>
          <w:sz w:val="20"/>
          <w:szCs w:val="20"/>
          <w:color w:val="auto"/>
        </w:rPr>
      </w:pPr>
    </w:p>
    <w:p>
      <w:pPr>
        <w:ind w:left="420" w:right="360" w:firstLine="403"/>
        <w:spacing w:after="0" w:line="264" w:lineRule="auto"/>
        <w:tabs>
          <w:tab w:leader="none" w:pos="105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the surviving corporation or the successor person (if other than the Company) is a corporation organized and validly existing under the laws of any U.S. domestic jurisdiction and expressly assumes the Company’s obligations on the Securities and under this Indenture; and</w:t>
      </w:r>
    </w:p>
    <w:p>
      <w:pPr>
        <w:spacing w:after="0" w:line="68" w:lineRule="exact"/>
        <w:rPr>
          <w:rFonts w:ascii="Times New Roman" w:cs="Times New Roman" w:eastAsia="Times New Roman" w:hAnsi="Times New Roman"/>
          <w:sz w:val="17"/>
          <w:szCs w:val="17"/>
          <w:color w:val="auto"/>
        </w:rPr>
      </w:pPr>
    </w:p>
    <w:p>
      <w:pPr>
        <w:ind w:left="1060" w:hanging="237"/>
        <w:spacing w:after="0"/>
        <w:tabs>
          <w:tab w:leader="none" w:pos="106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after giving effect to the transaction, no Default or Event of Default, shall have occurred and be continuing.</w:t>
      </w:r>
    </w:p>
    <w:p>
      <w:pPr>
        <w:spacing w:after="0" w:line="212" w:lineRule="exact"/>
        <w:rPr>
          <w:sz w:val="20"/>
          <w:szCs w:val="20"/>
          <w:color w:val="auto"/>
        </w:rPr>
      </w:pPr>
    </w:p>
    <w:p>
      <w:pPr>
        <w:ind w:right="280" w:firstLine="416"/>
        <w:spacing w:after="0" w:line="279" w:lineRule="auto"/>
        <w:rPr>
          <w:sz w:val="20"/>
          <w:szCs w:val="20"/>
          <w:color w:val="auto"/>
        </w:rPr>
      </w:pPr>
      <w:r>
        <w:rPr>
          <w:rFonts w:ascii="Times New Roman" w:cs="Times New Roman" w:eastAsia="Times New Roman" w:hAnsi="Times New Roman"/>
          <w:sz w:val="17"/>
          <w:szCs w:val="17"/>
          <w:color w:val="auto"/>
        </w:rPr>
        <w:t>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157" w:lineRule="exact"/>
        <w:rPr>
          <w:sz w:val="20"/>
          <w:szCs w:val="20"/>
          <w:color w:val="auto"/>
        </w:rPr>
      </w:pPr>
    </w:p>
    <w:p>
      <w:pPr>
        <w:ind w:right="620" w:firstLine="416"/>
        <w:spacing w:after="0" w:line="279" w:lineRule="auto"/>
        <w:rPr>
          <w:sz w:val="20"/>
          <w:szCs w:val="20"/>
          <w:color w:val="auto"/>
        </w:rPr>
      </w:pPr>
      <w:r>
        <w:rPr>
          <w:rFonts w:ascii="Times New Roman" w:cs="Times New Roman" w:eastAsia="Times New Roman" w:hAnsi="Times New Roman"/>
          <w:sz w:val="17"/>
          <w:szCs w:val="17"/>
          <w:color w:val="auto"/>
        </w:rPr>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5.2 </w:t>
      </w:r>
      <w:r>
        <w:rPr>
          <w:rFonts w:ascii="Times New Roman" w:cs="Times New Roman" w:eastAsia="Times New Roman" w:hAnsi="Times New Roman"/>
          <w:sz w:val="17"/>
          <w:szCs w:val="17"/>
          <w:u w:val="single" w:color="auto"/>
          <w:color w:val="auto"/>
        </w:rPr>
        <w:t>Successor Corporation Substituted</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220" w:firstLine="416"/>
        <w:spacing w:after="0" w:line="255" w:lineRule="auto"/>
        <w:rPr>
          <w:sz w:val="20"/>
          <w:szCs w:val="20"/>
          <w:color w:val="auto"/>
        </w:rPr>
      </w:pPr>
      <w:r>
        <w:rPr>
          <w:rFonts w:ascii="Times New Roman" w:cs="Times New Roman" w:eastAsia="Times New Roman" w:hAnsi="Times New Roman"/>
          <w:sz w:val="17"/>
          <w:szCs w:val="17"/>
          <w:color w:val="auto"/>
        </w:rPr>
        <w:t>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provided, however, that the predecessor Company in the case of a sale, conveyance or other disposition (other than a lease) shall be released from all obligations and covenants under this Indenture and the Securities.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0400"/>
          </w:cols>
          <w:pgMar w:left="740" w:top="263" w:right="759" w:bottom="1440" w:gutter="0" w:footer="0" w:header="0"/>
        </w:sectPr>
      </w:pPr>
    </w:p>
    <w:bookmarkStart w:id="140" w:name="page141"/>
    <w:bookmarkEnd w:id="140"/>
    <w:p>
      <w:pPr>
        <w:jc w:val="center"/>
        <w:ind w:right="-1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8">
                      <a:extLst>
                        <a:ext uri="{28A0092B-C50C-407E-A947-70E740481C1C}"/>
                      </a:extLst>
                    </a:blip>
                    <a:srcRect/>
                    <a:stretch>
                      <a:fillRect/>
                    </a:stretch>
                  </pic:blipFill>
                  <pic:spPr bwMode="auto">
                    <a:xfrm>
                      <a:off x="0" y="0"/>
                      <a:ext cx="7181850" cy="36830"/>
                    </a:xfrm>
                    <a:prstGeom prst="rect">
                      <a:avLst/>
                    </a:prstGeom>
                    <a:noFill/>
                  </pic:spPr>
                </pic:pic>
              </a:graphicData>
            </a:graphic>
          </wp:anchor>
        </w:drawing>
        <w:t>ARTICLE VI.</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DEFAULTS AND REMEDIES</w:t>
      </w:r>
    </w:p>
    <w:p>
      <w:pPr>
        <w:spacing w:after="0" w:line="1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6.1 </w:t>
      </w:r>
      <w:r>
        <w:rPr>
          <w:rFonts w:ascii="Times New Roman" w:cs="Times New Roman" w:eastAsia="Times New Roman" w:hAnsi="Times New Roman"/>
          <w:sz w:val="17"/>
          <w:szCs w:val="17"/>
          <w:u w:val="single" w:color="auto"/>
          <w:color w:val="auto"/>
        </w:rPr>
        <w:t>Events of Default</w:t>
      </w:r>
      <w:r>
        <w:rPr>
          <w:rFonts w:ascii="Times New Roman" w:cs="Times New Roman" w:eastAsia="Times New Roman" w:hAnsi="Times New Roman"/>
          <w:sz w:val="17"/>
          <w:szCs w:val="17"/>
          <w:color w:val="auto"/>
        </w:rPr>
        <w:t>.</w:t>
      </w:r>
    </w:p>
    <w:p>
      <w:pPr>
        <w:spacing w:after="0" w:line="2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Event of Default</w:t>
      </w:r>
      <w:r>
        <w:rPr>
          <w:rFonts w:ascii="Times New Roman" w:cs="Times New Roman" w:eastAsia="Times New Roman" w:hAnsi="Times New Roman"/>
          <w:sz w:val="16"/>
          <w:szCs w:val="16"/>
          <w:color w:val="auto"/>
        </w:rPr>
        <w:t>,” wherever used herein with respect to Securities of any Series, means any one of the following events, unless in the establishing</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Board Resolution, supplemental indenture or Officer’s Certificate, it is provided that such Series shall not have the benefit of said Event of Default:</w:t>
      </w:r>
    </w:p>
    <w:p>
      <w:pPr>
        <w:spacing w:after="0" w:line="95" w:lineRule="exact"/>
        <w:rPr>
          <w:sz w:val="20"/>
          <w:szCs w:val="20"/>
          <w:color w:val="auto"/>
        </w:rPr>
      </w:pPr>
    </w:p>
    <w:p>
      <w:pPr>
        <w:jc w:val="both"/>
        <w:ind w:left="420" w:right="200" w:firstLine="403"/>
        <w:spacing w:after="0" w:line="258" w:lineRule="auto"/>
        <w:tabs>
          <w:tab w:leader="none" w:pos="105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in the payment of any interest on any Security of that Series when it becomes due and payable, and continuance of such default for a period of 30 days (unless the entire amount of such payment is deposited by the Company with the Trustee or with a Paying Agent prior to 11:00 a.m., New York City time, on the 30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 of such period); or</w:t>
      </w:r>
    </w:p>
    <w:p>
      <w:pPr>
        <w:spacing w:after="0" w:line="1" w:lineRule="exact"/>
        <w:rPr>
          <w:rFonts w:ascii="Times New Roman" w:cs="Times New Roman" w:eastAsia="Times New Roman" w:hAnsi="Times New Roman"/>
          <w:sz w:val="17"/>
          <w:szCs w:val="17"/>
          <w:color w:val="auto"/>
        </w:rPr>
      </w:pPr>
    </w:p>
    <w:p>
      <w:pPr>
        <w:ind w:left="1060" w:hanging="237"/>
        <w:spacing w:after="0"/>
        <w:tabs>
          <w:tab w:leader="none" w:pos="106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in the payment of principal of any Security of that Series at its Maturity; or</w:t>
      </w:r>
    </w:p>
    <w:p>
      <w:pPr>
        <w:spacing w:after="0" w:line="92" w:lineRule="exact"/>
        <w:rPr>
          <w:rFonts w:ascii="Times New Roman" w:cs="Times New Roman" w:eastAsia="Times New Roman" w:hAnsi="Times New Roman"/>
          <w:sz w:val="17"/>
          <w:szCs w:val="17"/>
          <w:color w:val="auto"/>
        </w:rPr>
      </w:pPr>
    </w:p>
    <w:p>
      <w:pPr>
        <w:ind w:left="420" w:right="100" w:firstLine="403"/>
        <w:spacing w:after="0" w:line="255" w:lineRule="auto"/>
        <w:tabs>
          <w:tab w:leader="none" w:pos="105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in the performance or breach of any covenant or warranty of the Company in this Indenture (other than defaults pursuant to paragraphs (a) or (b) above or pursuant to a covenant or warranty that has been included in this Indenture solely for the benefit of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78" w:lineRule="exact"/>
        <w:rPr>
          <w:rFonts w:ascii="Times New Roman" w:cs="Times New Roman" w:eastAsia="Times New Roman" w:hAnsi="Times New Roman"/>
          <w:sz w:val="17"/>
          <w:szCs w:val="17"/>
          <w:color w:val="auto"/>
        </w:rPr>
      </w:pPr>
    </w:p>
    <w:p>
      <w:pPr>
        <w:ind w:left="1060" w:hanging="237"/>
        <w:spacing w:after="0"/>
        <w:tabs>
          <w:tab w:leader="none" w:pos="106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pursuant to or within the meaning of any Bankruptcy Law:</w:t>
      </w:r>
    </w:p>
    <w:p>
      <w:pPr>
        <w:spacing w:after="0" w:line="110" w:lineRule="exact"/>
        <w:rPr>
          <w:rFonts w:ascii="Times New Roman" w:cs="Times New Roman" w:eastAsia="Times New Roman" w:hAnsi="Times New Roman"/>
          <w:sz w:val="17"/>
          <w:szCs w:val="17"/>
          <w:color w:val="auto"/>
        </w:rPr>
      </w:pPr>
    </w:p>
    <w:p>
      <w:pPr>
        <w:ind w:left="1520" w:hanging="198"/>
        <w:spacing w:after="0"/>
        <w:tabs>
          <w:tab w:leader="none" w:pos="1520"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commences a voluntary case,</w:t>
      </w:r>
    </w:p>
    <w:p>
      <w:pPr>
        <w:spacing w:after="0" w:line="110" w:lineRule="exact"/>
        <w:rPr>
          <w:rFonts w:ascii="Times New Roman" w:cs="Times New Roman" w:eastAsia="Times New Roman" w:hAnsi="Times New Roman"/>
          <w:sz w:val="17"/>
          <w:szCs w:val="17"/>
          <w:color w:val="auto"/>
        </w:rPr>
      </w:pPr>
    </w:p>
    <w:p>
      <w:pPr>
        <w:ind w:left="1580" w:hanging="258"/>
        <w:spacing w:after="0"/>
        <w:tabs>
          <w:tab w:leader="none" w:pos="1580"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consents to the entry of an order for relief against it in an involuntary case,</w:t>
      </w:r>
    </w:p>
    <w:p>
      <w:pPr>
        <w:spacing w:after="0" w:line="110" w:lineRule="exact"/>
        <w:rPr>
          <w:rFonts w:ascii="Times New Roman" w:cs="Times New Roman" w:eastAsia="Times New Roman" w:hAnsi="Times New Roman"/>
          <w:sz w:val="17"/>
          <w:szCs w:val="17"/>
          <w:color w:val="auto"/>
        </w:rPr>
      </w:pPr>
    </w:p>
    <w:p>
      <w:pPr>
        <w:ind w:left="1620" w:hanging="298"/>
        <w:spacing w:after="0"/>
        <w:tabs>
          <w:tab w:leader="none" w:pos="1620"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consents to the appointment of a Custodian of it or for all or substantially all of its property,</w:t>
      </w:r>
    </w:p>
    <w:p>
      <w:pPr>
        <w:spacing w:after="0" w:line="110" w:lineRule="exact"/>
        <w:rPr>
          <w:rFonts w:ascii="Times New Roman" w:cs="Times New Roman" w:eastAsia="Times New Roman" w:hAnsi="Times New Roman"/>
          <w:sz w:val="17"/>
          <w:szCs w:val="17"/>
          <w:color w:val="auto"/>
        </w:rPr>
      </w:pPr>
    </w:p>
    <w:p>
      <w:pPr>
        <w:ind w:left="1600" w:hanging="278"/>
        <w:spacing w:after="0"/>
        <w:tabs>
          <w:tab w:leader="none" w:pos="1600"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makes a general assignment for the benefit of its creditors, or</w:t>
      </w:r>
    </w:p>
    <w:p>
      <w:pPr>
        <w:spacing w:after="0" w:line="110" w:lineRule="exact"/>
        <w:rPr>
          <w:rFonts w:ascii="Times New Roman" w:cs="Times New Roman" w:eastAsia="Times New Roman" w:hAnsi="Times New Roman"/>
          <w:sz w:val="17"/>
          <w:szCs w:val="17"/>
          <w:color w:val="auto"/>
        </w:rPr>
      </w:pPr>
    </w:p>
    <w:p>
      <w:pPr>
        <w:ind w:left="1560" w:hanging="238"/>
        <w:spacing w:after="0"/>
        <w:tabs>
          <w:tab w:leader="none" w:pos="1560"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generally is unable to pay its debts as the same become due; or</w:t>
      </w:r>
    </w:p>
    <w:p>
      <w:pPr>
        <w:spacing w:after="0" w:line="110" w:lineRule="exact"/>
        <w:rPr>
          <w:rFonts w:ascii="Times New Roman" w:cs="Times New Roman" w:eastAsia="Times New Roman" w:hAnsi="Times New Roman"/>
          <w:sz w:val="17"/>
          <w:szCs w:val="17"/>
          <w:color w:val="auto"/>
        </w:rPr>
      </w:pPr>
    </w:p>
    <w:p>
      <w:pPr>
        <w:ind w:left="1060" w:hanging="237"/>
        <w:spacing w:after="0"/>
        <w:tabs>
          <w:tab w:leader="none" w:pos="106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court of competent jurisdiction enters an order or decree under any Bankruptcy Law that:</w:t>
      </w:r>
    </w:p>
    <w:p>
      <w:pPr>
        <w:spacing w:after="0" w:line="110" w:lineRule="exact"/>
        <w:rPr>
          <w:rFonts w:ascii="Times New Roman" w:cs="Times New Roman" w:eastAsia="Times New Roman" w:hAnsi="Times New Roman"/>
          <w:sz w:val="17"/>
          <w:szCs w:val="17"/>
          <w:color w:val="auto"/>
        </w:rPr>
      </w:pPr>
    </w:p>
    <w:p>
      <w:pPr>
        <w:ind w:left="1520" w:hanging="198"/>
        <w:spacing w:after="0"/>
        <w:tabs>
          <w:tab w:leader="none" w:pos="1520"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for relief against the Company in an involuntary case,</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0400"/>
          </w:cols>
          <w:pgMar w:left="740" w:top="263" w:right="759" w:bottom="1440" w:gutter="0" w:footer="0" w:header="0"/>
        </w:sectPr>
      </w:pPr>
    </w:p>
    <w:bookmarkStart w:id="141" w:name="page142"/>
    <w:bookmarkEnd w:id="141"/>
    <w:p>
      <w:pPr>
        <w:ind w:left="1580" w:hanging="258"/>
        <w:spacing w:after="0"/>
        <w:tabs>
          <w:tab w:leader="none" w:pos="1580" w:val="left"/>
        </w:tabs>
        <w:numPr>
          <w:ilvl w:val="1"/>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9">
                      <a:extLst>
                        <a:ext uri="{28A0092B-C50C-407E-A947-70E740481C1C}"/>
                      </a:extLst>
                    </a:blip>
                    <a:srcRect/>
                    <a:stretch>
                      <a:fillRect/>
                    </a:stretch>
                  </pic:blipFill>
                  <pic:spPr bwMode="auto">
                    <a:xfrm>
                      <a:off x="0" y="0"/>
                      <a:ext cx="7181850" cy="36830"/>
                    </a:xfrm>
                    <a:prstGeom prst="rect">
                      <a:avLst/>
                    </a:prstGeom>
                    <a:noFill/>
                  </pic:spPr>
                </pic:pic>
              </a:graphicData>
            </a:graphic>
          </wp:anchor>
        </w:drawing>
        <w:t>appoints a Custodian of the Company or for all or substantially all of its property, or</w:t>
      </w:r>
    </w:p>
    <w:p>
      <w:pPr>
        <w:spacing w:after="0" w:line="110" w:lineRule="exact"/>
        <w:rPr>
          <w:rFonts w:ascii="Times New Roman" w:cs="Times New Roman" w:eastAsia="Times New Roman" w:hAnsi="Times New Roman"/>
          <w:sz w:val="17"/>
          <w:szCs w:val="17"/>
          <w:color w:val="auto"/>
        </w:rPr>
      </w:pPr>
    </w:p>
    <w:p>
      <w:pPr>
        <w:ind w:left="1620" w:hanging="298"/>
        <w:spacing w:after="0"/>
        <w:tabs>
          <w:tab w:leader="none" w:pos="1620" w:val="left"/>
        </w:tabs>
        <w:numPr>
          <w:ilvl w:val="1"/>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orders the liquidation of the Company, and the order or decree remains unstayed and in effect for 60 days; or</w:t>
      </w:r>
    </w:p>
    <w:p>
      <w:pPr>
        <w:spacing w:after="0" w:line="110" w:lineRule="exact"/>
        <w:rPr>
          <w:rFonts w:ascii="Times New Roman" w:cs="Times New Roman" w:eastAsia="Times New Roman" w:hAnsi="Times New Roman"/>
          <w:sz w:val="17"/>
          <w:szCs w:val="17"/>
          <w:color w:val="auto"/>
        </w:rPr>
      </w:pPr>
    </w:p>
    <w:p>
      <w:pPr>
        <w:ind w:left="420" w:right="260" w:firstLine="403"/>
        <w:spacing w:after="0" w:line="279" w:lineRule="auto"/>
        <w:tabs>
          <w:tab w:leader="none" w:pos="1031"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Event of Default provided with respect to Securities of that Series, which is specified in a Board Resolution, a supplemental indenture hereto or an Officer’s Certificate, in accordance with Section 2.2.18.</w:t>
      </w:r>
    </w:p>
    <w:p>
      <w:pPr>
        <w:spacing w:after="0" w:line="153" w:lineRule="exact"/>
        <w:rPr>
          <w:sz w:val="20"/>
          <w:szCs w:val="20"/>
          <w:color w:val="auto"/>
        </w:rPr>
      </w:pPr>
    </w:p>
    <w:p>
      <w:pPr>
        <w:ind w:right="180" w:firstLine="416"/>
        <w:spacing w:after="0" w:line="284" w:lineRule="auto"/>
        <w:rPr>
          <w:sz w:val="20"/>
          <w:szCs w:val="20"/>
          <w:color w:val="auto"/>
        </w:rPr>
      </w:pPr>
      <w:r>
        <w:rPr>
          <w:rFonts w:ascii="Times New Roman" w:cs="Times New Roman" w:eastAsia="Times New Roman" w:hAnsi="Times New Roman"/>
          <w:sz w:val="17"/>
          <w:szCs w:val="17"/>
          <w:color w:val="auto"/>
        </w:rPr>
        <w:t>The term “</w:t>
      </w:r>
      <w:r>
        <w:rPr>
          <w:rFonts w:ascii="Times New Roman" w:cs="Times New Roman" w:eastAsia="Times New Roman" w:hAnsi="Times New Roman"/>
          <w:sz w:val="17"/>
          <w:szCs w:val="17"/>
          <w:i w:val="1"/>
          <w:iCs w:val="1"/>
          <w:color w:val="auto"/>
        </w:rPr>
        <w:t>Bankruptcy Law</w:t>
      </w:r>
      <w:r>
        <w:rPr>
          <w:rFonts w:ascii="Times New Roman" w:cs="Times New Roman" w:eastAsia="Times New Roman" w:hAnsi="Times New Roman"/>
          <w:sz w:val="17"/>
          <w:szCs w:val="17"/>
          <w:color w:val="auto"/>
        </w:rPr>
        <w:t>” means title 11, U.S. Code or any similar Federal or State law for the relief of debtors. The term “</w:t>
      </w:r>
      <w:r>
        <w:rPr>
          <w:rFonts w:ascii="Times New Roman" w:cs="Times New Roman" w:eastAsia="Times New Roman" w:hAnsi="Times New Roman"/>
          <w:sz w:val="17"/>
          <w:szCs w:val="17"/>
          <w:i w:val="1"/>
          <w:iCs w:val="1"/>
          <w:color w:val="auto"/>
        </w:rPr>
        <w:t>Custodian</w:t>
      </w:r>
      <w:r>
        <w:rPr>
          <w:rFonts w:ascii="Times New Roman" w:cs="Times New Roman" w:eastAsia="Times New Roman" w:hAnsi="Times New Roman"/>
          <w:sz w:val="17"/>
          <w:szCs w:val="17"/>
          <w:color w:val="auto"/>
        </w:rPr>
        <w:t>” means any receiver, trustee, assignee, liquidator or similar official under any Bankruptcy Law.</w:t>
      </w:r>
    </w:p>
    <w:p>
      <w:pPr>
        <w:spacing w:after="0" w:line="153" w:lineRule="exact"/>
        <w:rPr>
          <w:sz w:val="20"/>
          <w:szCs w:val="20"/>
          <w:color w:val="auto"/>
        </w:rPr>
      </w:pPr>
    </w:p>
    <w:p>
      <w:pPr>
        <w:ind w:right="180" w:firstLine="416"/>
        <w:spacing w:after="0" w:line="264" w:lineRule="auto"/>
        <w:rPr>
          <w:sz w:val="20"/>
          <w:szCs w:val="20"/>
          <w:color w:val="auto"/>
        </w:rPr>
      </w:pPr>
      <w:r>
        <w:rPr>
          <w:rFonts w:ascii="Times New Roman" w:cs="Times New Roman" w:eastAsia="Times New Roman" w:hAnsi="Times New Roman"/>
          <w:sz w:val="17"/>
          <w:szCs w:val="17"/>
          <w:color w:val="auto"/>
        </w:rPr>
        <w:t>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w:t>
      </w:r>
    </w:p>
    <w:p>
      <w:pPr>
        <w:spacing w:after="0" w:line="1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6.2 </w:t>
      </w:r>
      <w:r>
        <w:rPr>
          <w:rFonts w:ascii="Times New Roman" w:cs="Times New Roman" w:eastAsia="Times New Roman" w:hAnsi="Times New Roman"/>
          <w:sz w:val="17"/>
          <w:szCs w:val="17"/>
          <w:u w:val="single" w:color="auto"/>
          <w:color w:val="auto"/>
        </w:rPr>
        <w:t>Acceleration of Maturity; Rescission and Annulment</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7"/>
          <w:szCs w:val="17"/>
          <w:color w:val="auto"/>
        </w:rPr>
        <w:t xml:space="preserve">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w:t>
      </w:r>
      <w:r>
        <w:rPr>
          <w:rFonts w:ascii="Times New Roman" w:cs="Times New Roman" w:eastAsia="Times New Roman" w:hAnsi="Times New Roman"/>
          <w:sz w:val="17"/>
          <w:szCs w:val="17"/>
          <w:i w:val="1"/>
          <w:iCs w:val="1"/>
          <w:color w:val="auto"/>
        </w:rPr>
        <w:t xml:space="preserve">ipso facto </w:t>
      </w:r>
      <w:r>
        <w:rPr>
          <w:rFonts w:ascii="Times New Roman" w:cs="Times New Roman" w:eastAsia="Times New Roman" w:hAnsi="Times New Roman"/>
          <w:sz w:val="17"/>
          <w:szCs w:val="17"/>
          <w:color w:val="auto"/>
        </w:rPr>
        <w:t>become and be immediately due and payable without any declaration or other act on the part of the Trustee or any Holder.</w:t>
      </w:r>
    </w:p>
    <w:p>
      <w:pPr>
        <w:spacing w:after="0" w:line="179" w:lineRule="exact"/>
        <w:rPr>
          <w:sz w:val="20"/>
          <w:szCs w:val="20"/>
          <w:color w:val="auto"/>
        </w:rPr>
      </w:pPr>
    </w:p>
    <w:p>
      <w:pPr>
        <w:ind w:right="40" w:firstLine="416"/>
        <w:spacing w:after="0" w:line="257" w:lineRule="auto"/>
        <w:rPr>
          <w:sz w:val="20"/>
          <w:szCs w:val="20"/>
          <w:color w:val="auto"/>
        </w:rPr>
      </w:pPr>
      <w:r>
        <w:rPr>
          <w:rFonts w:ascii="Times New Roman" w:cs="Times New Roman" w:eastAsia="Times New Roman" w:hAnsi="Times New Roman"/>
          <w:sz w:val="17"/>
          <w:szCs w:val="17"/>
          <w:color w:val="auto"/>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No such rescission shall affect any subsequent Default or impair any right consequent thereon.</w:t>
      </w:r>
    </w:p>
    <w:p>
      <w:pPr>
        <w:spacing w:after="0" w:line="14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0380"/>
          </w:cols>
          <w:pgMar w:left="740" w:top="263" w:right="779" w:bottom="1440" w:gutter="0" w:footer="0" w:header="0"/>
        </w:sectPr>
      </w:pPr>
    </w:p>
    <w:bookmarkStart w:id="142" w:name="page143"/>
    <w:bookmarkEnd w:id="142"/>
    <w:p>
      <w:pPr>
        <w:ind w:left="4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0">
                      <a:extLst>
                        <a:ext uri="{28A0092B-C50C-407E-A947-70E740481C1C}"/>
                      </a:extLst>
                    </a:blip>
                    <a:srcRect/>
                    <a:stretch>
                      <a:fillRect/>
                    </a:stretch>
                  </pic:blipFill>
                  <pic:spPr bwMode="auto">
                    <a:xfrm>
                      <a:off x="0" y="0"/>
                      <a:ext cx="7181850" cy="36830"/>
                    </a:xfrm>
                    <a:prstGeom prst="rect">
                      <a:avLst/>
                    </a:prstGeom>
                    <a:noFill/>
                  </pic:spPr>
                </pic:pic>
              </a:graphicData>
            </a:graphic>
          </wp:anchor>
        </w:drawing>
        <w:t xml:space="preserve">Section 6.3 </w:t>
      </w:r>
      <w:r>
        <w:rPr>
          <w:rFonts w:ascii="Times New Roman" w:cs="Times New Roman" w:eastAsia="Times New Roman" w:hAnsi="Times New Roman"/>
          <w:sz w:val="17"/>
          <w:szCs w:val="17"/>
          <w:u w:val="single" w:color="auto"/>
          <w:color w:val="auto"/>
        </w:rPr>
        <w:t>Collection of Indebtedness and Suits for Enforcement by Trustee</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Company covenants that if</w:t>
      </w:r>
    </w:p>
    <w:p>
      <w:pPr>
        <w:spacing w:after="0" w:line="110" w:lineRule="exact"/>
        <w:rPr>
          <w:sz w:val="20"/>
          <w:szCs w:val="20"/>
          <w:color w:val="auto"/>
        </w:rPr>
      </w:pPr>
    </w:p>
    <w:p>
      <w:pPr>
        <w:ind w:left="420" w:right="200" w:firstLine="403"/>
        <w:spacing w:after="0" w:line="279" w:lineRule="auto"/>
        <w:tabs>
          <w:tab w:leader="none" w:pos="105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is made in the payment of any interest on any Security when such interest becomes due and payable and such default continues for a period of 30 days, or</w:t>
      </w:r>
    </w:p>
    <w:p>
      <w:pPr>
        <w:spacing w:after="0" w:line="54" w:lineRule="exact"/>
        <w:rPr>
          <w:rFonts w:ascii="Times New Roman" w:cs="Times New Roman" w:eastAsia="Times New Roman" w:hAnsi="Times New Roman"/>
          <w:sz w:val="17"/>
          <w:szCs w:val="17"/>
          <w:color w:val="auto"/>
        </w:rPr>
      </w:pPr>
    </w:p>
    <w:p>
      <w:pPr>
        <w:ind w:left="1060" w:hanging="237"/>
        <w:spacing w:after="0"/>
        <w:tabs>
          <w:tab w:leader="none" w:pos="106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is made in the payment of principal of any Security at the Maturity thereof, or</w:t>
      </w:r>
    </w:p>
    <w:p>
      <w:pPr>
        <w:spacing w:after="0" w:line="106" w:lineRule="exact"/>
        <w:rPr>
          <w:rFonts w:ascii="Times New Roman" w:cs="Times New Roman" w:eastAsia="Times New Roman" w:hAnsi="Times New Roman"/>
          <w:sz w:val="17"/>
          <w:szCs w:val="17"/>
          <w:color w:val="auto"/>
        </w:rPr>
      </w:pPr>
    </w:p>
    <w:p>
      <w:pPr>
        <w:ind w:left="420" w:right="80" w:firstLine="403"/>
        <w:spacing w:after="0" w:line="256" w:lineRule="auto"/>
        <w:tabs>
          <w:tab w:leader="none" w:pos="105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default is made in the deposit of any sinking fund payment, if any, when and as due by the terms of a Security, </w:t>
      </w:r>
      <w:r>
        <w:rPr>
          <w:rFonts w:ascii="Times New Roman" w:cs="Times New Roman" w:eastAsia="Times New Roman" w:hAnsi="Times New Roman"/>
          <w:sz w:val="17"/>
          <w:szCs w:val="17"/>
          <w:i w:val="1"/>
          <w:iCs w:val="1"/>
          <w:color w:val="auto"/>
        </w:rPr>
        <w:t>then,</w:t>
      </w:r>
      <w:r>
        <w:rPr>
          <w:rFonts w:ascii="Times New Roman" w:cs="Times New Roman" w:eastAsia="Times New Roman" w:hAnsi="Times New Roman"/>
          <w:sz w:val="17"/>
          <w:szCs w:val="17"/>
          <w:color w:val="auto"/>
        </w:rPr>
        <w:t xml:space="preserve"> the Company will, upon demand of the Trustee, pay to it, for the benefit of the Holders of such Securities, the whole amount then due and payable 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compensation, reasonable expenses, disbursements and advances of the Trustee, its agents and counsel.</w:t>
      </w:r>
    </w:p>
    <w:p>
      <w:pPr>
        <w:spacing w:after="0" w:line="179" w:lineRule="exact"/>
        <w:rPr>
          <w:sz w:val="20"/>
          <w:szCs w:val="20"/>
          <w:color w:val="auto"/>
        </w:rPr>
      </w:pPr>
    </w:p>
    <w:p>
      <w:pPr>
        <w:ind w:right="360" w:firstLine="416"/>
        <w:spacing w:after="0" w:line="259" w:lineRule="auto"/>
        <w:rPr>
          <w:sz w:val="20"/>
          <w:szCs w:val="20"/>
          <w:color w:val="auto"/>
        </w:rPr>
      </w:pPr>
      <w:r>
        <w:rPr>
          <w:rFonts w:ascii="Times New Roman" w:cs="Times New Roman" w:eastAsia="Times New Roman" w:hAnsi="Times New Roman"/>
          <w:sz w:val="17"/>
          <w:szCs w:val="17"/>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75" w:lineRule="exact"/>
        <w:rPr>
          <w:sz w:val="20"/>
          <w:szCs w:val="20"/>
          <w:color w:val="auto"/>
        </w:rPr>
      </w:pPr>
    </w:p>
    <w:p>
      <w:pPr>
        <w:ind w:firstLine="416"/>
        <w:spacing w:after="0" w:line="259" w:lineRule="auto"/>
        <w:rPr>
          <w:sz w:val="20"/>
          <w:szCs w:val="20"/>
          <w:color w:val="auto"/>
        </w:rPr>
      </w:pPr>
      <w:r>
        <w:rPr>
          <w:rFonts w:ascii="Times New Roman" w:cs="Times New Roman" w:eastAsia="Times New Roman" w:hAnsi="Times New Roman"/>
          <w:sz w:val="17"/>
          <w:szCs w:val="17"/>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6.4 </w:t>
      </w:r>
      <w:r>
        <w:rPr>
          <w:rFonts w:ascii="Times New Roman" w:cs="Times New Roman" w:eastAsia="Times New Roman" w:hAnsi="Times New Roman"/>
          <w:sz w:val="17"/>
          <w:szCs w:val="17"/>
          <w:u w:val="single" w:color="auto"/>
          <w:color w:val="auto"/>
        </w:rPr>
        <w:t>Trustee May File Proofs of Claim</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200" w:firstLine="416"/>
        <w:spacing w:after="0" w:line="257" w:lineRule="auto"/>
        <w:rPr>
          <w:sz w:val="20"/>
          <w:szCs w:val="20"/>
          <w:color w:val="auto"/>
        </w:rPr>
      </w:pPr>
      <w:r>
        <w:rPr>
          <w:rFonts w:ascii="Times New Roman" w:cs="Times New Roman" w:eastAsia="Times New Roman" w:hAnsi="Times New Roman"/>
          <w:sz w:val="17"/>
          <w:szCs w:val="17"/>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0400"/>
          </w:cols>
          <w:pgMar w:left="740" w:top="263" w:right="759" w:bottom="1440" w:gutter="0" w:footer="0" w:header="0"/>
        </w:sectPr>
      </w:pPr>
    </w:p>
    <w:bookmarkStart w:id="143" w:name="page144"/>
    <w:bookmarkEnd w:id="143"/>
    <w:p>
      <w:pPr>
        <w:ind w:left="420" w:right="60" w:firstLine="403"/>
        <w:spacing w:after="0" w:line="259" w:lineRule="auto"/>
        <w:tabs>
          <w:tab w:leader="none" w:pos="105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1">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to file and prove a claim for the whole amount of principal and interest owing and unpaid in respect of the Securities and to file such other papers or documents as may be necessary or advisable in order to have the claims of the Trustee (including any claim for the compensation, reasonable expenses, disbursements and advances of the Trustee, its agents and counsel) and of the Holders allowed in such judicial proceeding, and</w:t>
      </w:r>
    </w:p>
    <w:p>
      <w:pPr>
        <w:spacing w:after="0" w:line="73" w:lineRule="exact"/>
        <w:rPr>
          <w:rFonts w:ascii="Times New Roman" w:cs="Times New Roman" w:eastAsia="Times New Roman" w:hAnsi="Times New Roman"/>
          <w:sz w:val="17"/>
          <w:szCs w:val="17"/>
          <w:color w:val="auto"/>
        </w:rPr>
      </w:pPr>
    </w:p>
    <w:p>
      <w:pPr>
        <w:ind w:left="420" w:right="60" w:firstLine="403"/>
        <w:spacing w:after="0" w:line="264" w:lineRule="auto"/>
        <w:tabs>
          <w:tab w:leader="none" w:pos="1059"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w:t>
      </w:r>
    </w:p>
    <w:p>
      <w:pPr>
        <w:spacing w:after="0" w:line="170" w:lineRule="exact"/>
        <w:rPr>
          <w:sz w:val="20"/>
          <w:szCs w:val="20"/>
          <w:color w:val="auto"/>
        </w:rPr>
      </w:pPr>
    </w:p>
    <w:p>
      <w:pPr>
        <w:jc w:val="both"/>
        <w:ind w:right="160"/>
        <w:spacing w:after="0" w:line="264" w:lineRule="auto"/>
        <w:rPr>
          <w:sz w:val="20"/>
          <w:szCs w:val="20"/>
          <w:color w:val="auto"/>
        </w:rPr>
      </w:pPr>
      <w:r>
        <w:rPr>
          <w:rFonts w:ascii="Times New Roman" w:cs="Times New Roman" w:eastAsia="Times New Roman" w:hAnsi="Times New Roman"/>
          <w:sz w:val="17"/>
          <w:szCs w:val="17"/>
          <w:color w:val="auto"/>
        </w:rPr>
        <w:t>Trustee and, in the event that the Trustee shall consent to the making of such payments directly to the Holders, to pay to the Trustee any amount due it for the compensation, reasonable expenses, disbursements and advances of the Trustee, its agents and counsel, and any other amounts due the Trustee under Section 7.7.</w:t>
      </w:r>
    </w:p>
    <w:p>
      <w:pPr>
        <w:spacing w:after="0" w:line="170" w:lineRule="exact"/>
        <w:rPr>
          <w:sz w:val="20"/>
          <w:szCs w:val="20"/>
          <w:color w:val="auto"/>
        </w:rPr>
      </w:pPr>
    </w:p>
    <w:p>
      <w:pPr>
        <w:jc w:val="both"/>
        <w:ind w:right="60" w:firstLine="416"/>
        <w:spacing w:after="0" w:line="264" w:lineRule="auto"/>
        <w:rPr>
          <w:sz w:val="20"/>
          <w:szCs w:val="20"/>
          <w:color w:val="auto"/>
        </w:rPr>
      </w:pPr>
      <w:r>
        <w:rPr>
          <w:rFonts w:ascii="Times New Roman" w:cs="Times New Roman" w:eastAsia="Times New Roman" w:hAnsi="Times New Roman"/>
          <w:sz w:val="17"/>
          <w:szCs w:val="17"/>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6.5 </w:t>
      </w:r>
      <w:r>
        <w:rPr>
          <w:rFonts w:ascii="Times New Roman" w:cs="Times New Roman" w:eastAsia="Times New Roman" w:hAnsi="Times New Roman"/>
          <w:sz w:val="17"/>
          <w:szCs w:val="17"/>
          <w:u w:val="single" w:color="auto"/>
          <w:color w:val="auto"/>
        </w:rPr>
        <w:t>Trustee May Enforce Claims Without Possession of Securities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20" w:firstLine="416"/>
        <w:spacing w:after="0" w:line="257" w:lineRule="auto"/>
        <w:rPr>
          <w:sz w:val="20"/>
          <w:szCs w:val="20"/>
          <w:color w:val="auto"/>
        </w:rPr>
      </w:pPr>
      <w:r>
        <w:rPr>
          <w:rFonts w:ascii="Times New Roman" w:cs="Times New Roman" w:eastAsia="Times New Roman" w:hAnsi="Times New Roman"/>
          <w:sz w:val="17"/>
          <w:szCs w:val="17"/>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compensation, reasonable expenses, disbursements and advances of the Trustee, its agents and counsel, be for the ratable benefit of the Holders of the Securities in respect of which such judgment has been recovered.</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6.6 </w:t>
      </w:r>
      <w:r>
        <w:rPr>
          <w:rFonts w:ascii="Times New Roman" w:cs="Times New Roman" w:eastAsia="Times New Roman" w:hAnsi="Times New Roman"/>
          <w:sz w:val="17"/>
          <w:szCs w:val="17"/>
          <w:u w:val="single" w:color="auto"/>
          <w:color w:val="auto"/>
        </w:rPr>
        <w:t>Application of Money Collected</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firstLine="416"/>
        <w:spacing w:after="0" w:line="264" w:lineRule="auto"/>
        <w:rPr>
          <w:sz w:val="20"/>
          <w:szCs w:val="20"/>
          <w:color w:val="auto"/>
        </w:rPr>
      </w:pPr>
      <w:r>
        <w:rPr>
          <w:rFonts w:ascii="Times New Roman" w:cs="Times New Roman" w:eastAsia="Times New Roman" w:hAnsi="Times New Roman"/>
          <w:sz w:val="17"/>
          <w:szCs w:val="17"/>
          <w:color w:val="auto"/>
        </w:rPr>
        <w:t>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w:t>
      </w:r>
    </w:p>
    <w:p>
      <w:pPr>
        <w:spacing w:after="0" w:line="1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First: To the payment of all amounts due the Trustee under Section 7.7; and</w:t>
      </w:r>
    </w:p>
    <w:p>
      <w:pPr>
        <w:spacing w:after="0" w:line="212" w:lineRule="exact"/>
        <w:rPr>
          <w:sz w:val="20"/>
          <w:szCs w:val="20"/>
          <w:color w:val="auto"/>
        </w:rPr>
      </w:pPr>
    </w:p>
    <w:p>
      <w:pPr>
        <w:jc w:val="both"/>
        <w:ind w:right="40" w:firstLine="416"/>
        <w:spacing w:after="0" w:line="264" w:lineRule="auto"/>
        <w:rPr>
          <w:sz w:val="20"/>
          <w:szCs w:val="20"/>
          <w:color w:val="auto"/>
        </w:rPr>
      </w:pPr>
      <w:r>
        <w:rPr>
          <w:rFonts w:ascii="Times New Roman" w:cs="Times New Roman" w:eastAsia="Times New Roman" w:hAnsi="Times New Roman"/>
          <w:sz w:val="17"/>
          <w:szCs w:val="17"/>
          <w:color w:val="auto"/>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Third: To the Company.</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0360"/>
          </w:cols>
          <w:pgMar w:left="740" w:top="263" w:right="799" w:bottom="1440" w:gutter="0" w:footer="0" w:header="0"/>
        </w:sectPr>
      </w:pPr>
    </w:p>
    <w:bookmarkStart w:id="144" w:name="page145"/>
    <w:bookmarkEnd w:id="144"/>
    <w:p>
      <w:pPr>
        <w:ind w:left="4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2">
                      <a:extLst>
                        <a:ext uri="{28A0092B-C50C-407E-A947-70E740481C1C}"/>
                      </a:extLst>
                    </a:blip>
                    <a:srcRect/>
                    <a:stretch>
                      <a:fillRect/>
                    </a:stretch>
                  </pic:blipFill>
                  <pic:spPr bwMode="auto">
                    <a:xfrm>
                      <a:off x="0" y="0"/>
                      <a:ext cx="7181850" cy="36830"/>
                    </a:xfrm>
                    <a:prstGeom prst="rect">
                      <a:avLst/>
                    </a:prstGeom>
                    <a:noFill/>
                  </pic:spPr>
                </pic:pic>
              </a:graphicData>
            </a:graphic>
          </wp:anchor>
        </w:drawing>
        <w:t xml:space="preserve">Section 6.7 </w:t>
      </w:r>
      <w:r>
        <w:rPr>
          <w:rFonts w:ascii="Times New Roman" w:cs="Times New Roman" w:eastAsia="Times New Roman" w:hAnsi="Times New Roman"/>
          <w:sz w:val="17"/>
          <w:szCs w:val="17"/>
          <w:u w:val="single" w:color="auto"/>
          <w:color w:val="auto"/>
        </w:rPr>
        <w:t>Limitation on Suits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firstLine="416"/>
        <w:spacing w:after="0" w:line="279" w:lineRule="auto"/>
        <w:rPr>
          <w:sz w:val="20"/>
          <w:szCs w:val="20"/>
          <w:color w:val="auto"/>
        </w:rPr>
      </w:pPr>
      <w:r>
        <w:rPr>
          <w:rFonts w:ascii="Times New Roman" w:cs="Times New Roman" w:eastAsia="Times New Roman" w:hAnsi="Times New Roman"/>
          <w:sz w:val="17"/>
          <w:szCs w:val="17"/>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55" w:lineRule="exact"/>
        <w:rPr>
          <w:sz w:val="20"/>
          <w:szCs w:val="20"/>
          <w:color w:val="auto"/>
        </w:rPr>
      </w:pPr>
    </w:p>
    <w:p>
      <w:pPr>
        <w:ind w:left="1060" w:hanging="237"/>
        <w:spacing w:after="0"/>
        <w:tabs>
          <w:tab w:leader="none" w:pos="106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Holder has previously given written notice to the Trustee of a continuing Event of Default with respect to the Securities of that</w:t>
      </w:r>
    </w:p>
    <w:p>
      <w:pPr>
        <w:spacing w:after="0" w:line="23" w:lineRule="exact"/>
        <w:rPr>
          <w:rFonts w:ascii="Times New Roman" w:cs="Times New Roman" w:eastAsia="Times New Roman" w:hAnsi="Times New Roman"/>
          <w:sz w:val="17"/>
          <w:szCs w:val="17"/>
          <w:color w:val="auto"/>
        </w:rPr>
      </w:pPr>
    </w:p>
    <w:p>
      <w:pPr>
        <w:ind w:left="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Series;</w:t>
      </w:r>
    </w:p>
    <w:p>
      <w:pPr>
        <w:spacing w:after="0" w:line="94" w:lineRule="exact"/>
        <w:rPr>
          <w:rFonts w:ascii="Times New Roman" w:cs="Times New Roman" w:eastAsia="Times New Roman" w:hAnsi="Times New Roman"/>
          <w:sz w:val="17"/>
          <w:szCs w:val="17"/>
          <w:color w:val="auto"/>
        </w:rPr>
      </w:pPr>
    </w:p>
    <w:p>
      <w:pPr>
        <w:ind w:left="420" w:right="200" w:firstLine="403"/>
        <w:spacing w:after="0" w:line="279" w:lineRule="auto"/>
        <w:tabs>
          <w:tab w:leader="none" w:pos="1059"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54" w:lineRule="exact"/>
        <w:rPr>
          <w:rFonts w:ascii="Times New Roman" w:cs="Times New Roman" w:eastAsia="Times New Roman" w:hAnsi="Times New Roman"/>
          <w:sz w:val="17"/>
          <w:szCs w:val="17"/>
          <w:color w:val="auto"/>
        </w:rPr>
      </w:pPr>
    </w:p>
    <w:p>
      <w:pPr>
        <w:ind w:left="420" w:right="440" w:firstLine="403"/>
        <w:spacing w:after="0" w:line="279" w:lineRule="auto"/>
        <w:tabs>
          <w:tab w:leader="none" w:pos="105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Holder or Holders have offered to the Trustee indemnity or security satisfactory to the Trustee against the costs, expenses and liabilities which might be incurred by the Trustee in compliance with such request;</w:t>
      </w:r>
    </w:p>
    <w:p>
      <w:pPr>
        <w:spacing w:after="0" w:line="54" w:lineRule="exact"/>
        <w:rPr>
          <w:rFonts w:ascii="Times New Roman" w:cs="Times New Roman" w:eastAsia="Times New Roman" w:hAnsi="Times New Roman"/>
          <w:sz w:val="17"/>
          <w:szCs w:val="17"/>
          <w:color w:val="auto"/>
        </w:rPr>
      </w:pPr>
    </w:p>
    <w:p>
      <w:pPr>
        <w:ind w:left="1060" w:hanging="237"/>
        <w:spacing w:after="0"/>
        <w:tabs>
          <w:tab w:leader="none" w:pos="106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for 60 days after its receipt of such notice, request and offer of indemnity has failed to institute any such proceeding; and</w:t>
      </w:r>
    </w:p>
    <w:p>
      <w:pPr>
        <w:spacing w:after="0" w:line="110" w:lineRule="exact"/>
        <w:rPr>
          <w:rFonts w:ascii="Times New Roman" w:cs="Times New Roman" w:eastAsia="Times New Roman" w:hAnsi="Times New Roman"/>
          <w:sz w:val="17"/>
          <w:szCs w:val="17"/>
          <w:color w:val="auto"/>
        </w:rPr>
      </w:pPr>
    </w:p>
    <w:p>
      <w:pPr>
        <w:ind w:left="420" w:right="100" w:firstLine="403"/>
        <w:spacing w:after="0" w:line="279" w:lineRule="auto"/>
        <w:tabs>
          <w:tab w:leader="none" w:pos="105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direction inconsistent with such written request has been given to the Trustee during such 60-day period by the Holders of a majority in principal amount of the outstanding Securities of that Series;</w:t>
      </w:r>
    </w:p>
    <w:p>
      <w:pPr>
        <w:spacing w:after="0" w:line="15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7"/>
          <w:szCs w:val="17"/>
          <w:color w:val="auto"/>
        </w:rPr>
        <w:t>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6.8 </w:t>
      </w:r>
      <w:r>
        <w:rPr>
          <w:rFonts w:ascii="Times New Roman" w:cs="Times New Roman" w:eastAsia="Times New Roman" w:hAnsi="Times New Roman"/>
          <w:sz w:val="17"/>
          <w:szCs w:val="17"/>
          <w:u w:val="single" w:color="auto"/>
          <w:color w:val="auto"/>
        </w:rPr>
        <w:t>Unconditional Right of Holders to Receive Principal and Interest</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80" w:firstLine="416"/>
        <w:spacing w:after="0" w:line="259" w:lineRule="auto"/>
        <w:rPr>
          <w:sz w:val="20"/>
          <w:szCs w:val="20"/>
          <w:color w:val="auto"/>
        </w:rPr>
      </w:pPr>
      <w:r>
        <w:rPr>
          <w:rFonts w:ascii="Times New Roman" w:cs="Times New Roman" w:eastAsia="Times New Roman" w:hAnsi="Times New Roman"/>
          <w:sz w:val="17"/>
          <w:szCs w:val="17"/>
          <w:color w:val="auto"/>
        </w:rPr>
        <w:t>Notwithstanding any other provision in this Indenture, the Holder of any Security shall have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6.9 </w:t>
      </w:r>
      <w:r>
        <w:rPr>
          <w:rFonts w:ascii="Times New Roman" w:cs="Times New Roman" w:eastAsia="Times New Roman" w:hAnsi="Times New Roman"/>
          <w:sz w:val="17"/>
          <w:szCs w:val="17"/>
          <w:u w:val="single" w:color="auto"/>
          <w:color w:val="auto"/>
        </w:rPr>
        <w:t>Restoration of Rights and Remedies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20" w:firstLine="416"/>
        <w:spacing w:after="0" w:line="259" w:lineRule="auto"/>
        <w:rPr>
          <w:sz w:val="20"/>
          <w:szCs w:val="20"/>
          <w:color w:val="auto"/>
        </w:rPr>
      </w:pPr>
      <w:r>
        <w:rPr>
          <w:rFonts w:ascii="Times New Roman" w:cs="Times New Roman" w:eastAsia="Times New Roman" w:hAnsi="Times New Roman"/>
          <w:sz w:val="17"/>
          <w:szCs w:val="17"/>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0380"/>
          </w:cols>
          <w:pgMar w:left="740" w:top="263" w:right="779" w:bottom="1440" w:gutter="0" w:footer="0" w:header="0"/>
        </w:sectPr>
      </w:pPr>
    </w:p>
    <w:bookmarkStart w:id="145" w:name="page146"/>
    <w:bookmarkEnd w:id="145"/>
    <w:p>
      <w:pPr>
        <w:ind w:left="4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3">
                      <a:extLst>
                        <a:ext uri="{28A0092B-C50C-407E-A947-70E740481C1C}"/>
                      </a:extLst>
                    </a:blip>
                    <a:srcRect/>
                    <a:stretch>
                      <a:fillRect/>
                    </a:stretch>
                  </pic:blipFill>
                  <pic:spPr bwMode="auto">
                    <a:xfrm>
                      <a:off x="0" y="0"/>
                      <a:ext cx="7181850" cy="36830"/>
                    </a:xfrm>
                    <a:prstGeom prst="rect">
                      <a:avLst/>
                    </a:prstGeom>
                    <a:noFill/>
                  </pic:spPr>
                </pic:pic>
              </a:graphicData>
            </a:graphic>
          </wp:anchor>
        </w:drawing>
        <w:t xml:space="preserve">Section 6.10 </w:t>
      </w:r>
      <w:r>
        <w:rPr>
          <w:rFonts w:ascii="Times New Roman" w:cs="Times New Roman" w:eastAsia="Times New Roman" w:hAnsi="Times New Roman"/>
          <w:sz w:val="17"/>
          <w:szCs w:val="17"/>
          <w:u w:val="single" w:color="auto"/>
          <w:color w:val="auto"/>
        </w:rPr>
        <w:t>Rights and Remedies Cumulative</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firstLine="416"/>
        <w:spacing w:after="0" w:line="257" w:lineRule="auto"/>
        <w:rPr>
          <w:sz w:val="20"/>
          <w:szCs w:val="20"/>
          <w:color w:val="auto"/>
        </w:rPr>
      </w:pPr>
      <w:r>
        <w:rPr>
          <w:rFonts w:ascii="Times New Roman" w:cs="Times New Roman" w:eastAsia="Times New Roman" w:hAnsi="Times New Roman"/>
          <w:sz w:val="17"/>
          <w:szCs w:val="17"/>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6.11 </w:t>
      </w:r>
      <w:r>
        <w:rPr>
          <w:rFonts w:ascii="Times New Roman" w:cs="Times New Roman" w:eastAsia="Times New Roman" w:hAnsi="Times New Roman"/>
          <w:sz w:val="17"/>
          <w:szCs w:val="17"/>
          <w:u w:val="single" w:color="auto"/>
          <w:color w:val="auto"/>
        </w:rPr>
        <w:t>Delay or Omission Not Waiver</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40" w:firstLine="416"/>
        <w:spacing w:after="0" w:line="259" w:lineRule="auto"/>
        <w:rPr>
          <w:sz w:val="20"/>
          <w:szCs w:val="20"/>
          <w:color w:val="auto"/>
        </w:rPr>
      </w:pPr>
      <w:r>
        <w:rPr>
          <w:rFonts w:ascii="Times New Roman" w:cs="Times New Roman" w:eastAsia="Times New Roman" w:hAnsi="Times New Roman"/>
          <w:sz w:val="17"/>
          <w:szCs w:val="17"/>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6.12 </w:t>
      </w:r>
      <w:r>
        <w:rPr>
          <w:rFonts w:ascii="Times New Roman" w:cs="Times New Roman" w:eastAsia="Times New Roman" w:hAnsi="Times New Roman"/>
          <w:sz w:val="17"/>
          <w:szCs w:val="17"/>
          <w:u w:val="single" w:color="auto"/>
          <w:color w:val="auto"/>
        </w:rPr>
        <w:t>Control by Holders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120" w:firstLine="416"/>
        <w:spacing w:after="0" w:line="264" w:lineRule="auto"/>
        <w:rPr>
          <w:sz w:val="20"/>
          <w:szCs w:val="20"/>
          <w:color w:val="auto"/>
        </w:rPr>
      </w:pPr>
      <w:r>
        <w:rPr>
          <w:rFonts w:ascii="Times New Roman" w:cs="Times New Roman" w:eastAsia="Times New Roman" w:hAnsi="Times New Roman"/>
          <w:sz w:val="17"/>
          <w:szCs w:val="17"/>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68" w:lineRule="exact"/>
        <w:rPr>
          <w:sz w:val="20"/>
          <w:szCs w:val="20"/>
          <w:color w:val="auto"/>
        </w:rPr>
      </w:pPr>
    </w:p>
    <w:p>
      <w:pPr>
        <w:ind w:left="1060" w:hanging="237"/>
        <w:spacing w:after="0"/>
        <w:tabs>
          <w:tab w:leader="none" w:pos="106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direction shall not be in conflict with any rule of law or with this Indenture,</w:t>
      </w:r>
    </w:p>
    <w:p>
      <w:pPr>
        <w:spacing w:after="0" w:line="110" w:lineRule="exact"/>
        <w:rPr>
          <w:rFonts w:ascii="Times New Roman" w:cs="Times New Roman" w:eastAsia="Times New Roman" w:hAnsi="Times New Roman"/>
          <w:sz w:val="17"/>
          <w:szCs w:val="17"/>
          <w:color w:val="auto"/>
        </w:rPr>
      </w:pPr>
    </w:p>
    <w:p>
      <w:pPr>
        <w:ind w:left="1060" w:hanging="237"/>
        <w:spacing w:after="0"/>
        <w:tabs>
          <w:tab w:leader="none" w:pos="106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take any other action deemed proper by the Trustee which is not inconsistent with such direction,</w:t>
      </w:r>
    </w:p>
    <w:p>
      <w:pPr>
        <w:spacing w:after="0" w:line="110" w:lineRule="exact"/>
        <w:rPr>
          <w:rFonts w:ascii="Times New Roman" w:cs="Times New Roman" w:eastAsia="Times New Roman" w:hAnsi="Times New Roman"/>
          <w:sz w:val="17"/>
          <w:szCs w:val="17"/>
          <w:color w:val="auto"/>
        </w:rPr>
      </w:pPr>
    </w:p>
    <w:p>
      <w:pPr>
        <w:ind w:left="420" w:right="20" w:firstLine="403"/>
        <w:spacing w:after="0" w:line="279" w:lineRule="auto"/>
        <w:tabs>
          <w:tab w:leader="none" w:pos="105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w:t>
      </w:r>
    </w:p>
    <w:p>
      <w:pPr>
        <w:spacing w:after="0" w:line="54" w:lineRule="exact"/>
        <w:rPr>
          <w:rFonts w:ascii="Times New Roman" w:cs="Times New Roman" w:eastAsia="Times New Roman" w:hAnsi="Times New Roman"/>
          <w:sz w:val="17"/>
          <w:szCs w:val="17"/>
          <w:color w:val="auto"/>
        </w:rPr>
      </w:pPr>
    </w:p>
    <w:p>
      <w:pPr>
        <w:ind w:left="420" w:right="40" w:firstLine="403"/>
        <w:spacing w:after="0" w:line="279" w:lineRule="auto"/>
        <w:tabs>
          <w:tab w:leader="none" w:pos="1059"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taking any action as directed under this Section 6.12, the Trustee shall be entitled to indemnity satisfactory to it against the costs, expenses and liabilities which might be incurred by it in compliance with such request or direction.</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0400"/>
          </w:cols>
          <w:pgMar w:left="740" w:top="263" w:right="759" w:bottom="1440" w:gutter="0" w:footer="0" w:header="0"/>
        </w:sectPr>
      </w:pPr>
    </w:p>
    <w:bookmarkStart w:id="146" w:name="page147"/>
    <w:bookmarkEnd w:id="146"/>
    <w:p>
      <w:pPr>
        <w:ind w:left="4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4">
                      <a:extLst>
                        <a:ext uri="{28A0092B-C50C-407E-A947-70E740481C1C}"/>
                      </a:extLst>
                    </a:blip>
                    <a:srcRect/>
                    <a:stretch>
                      <a:fillRect/>
                    </a:stretch>
                  </pic:blipFill>
                  <pic:spPr bwMode="auto">
                    <a:xfrm>
                      <a:off x="0" y="0"/>
                      <a:ext cx="7181850" cy="36830"/>
                    </a:xfrm>
                    <a:prstGeom prst="rect">
                      <a:avLst/>
                    </a:prstGeom>
                    <a:noFill/>
                  </pic:spPr>
                </pic:pic>
              </a:graphicData>
            </a:graphic>
          </wp:anchor>
        </w:drawing>
        <w:t xml:space="preserve">Section 6.13 </w:t>
      </w:r>
      <w:r>
        <w:rPr>
          <w:rFonts w:ascii="Times New Roman" w:cs="Times New Roman" w:eastAsia="Times New Roman" w:hAnsi="Times New Roman"/>
          <w:sz w:val="17"/>
          <w:szCs w:val="17"/>
          <w:u w:val="single" w:color="auto"/>
          <w:color w:val="auto"/>
        </w:rPr>
        <w:t>Waiver of Past Defaults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firstLine="416"/>
        <w:spacing w:after="0" w:line="255" w:lineRule="auto"/>
        <w:rPr>
          <w:sz w:val="20"/>
          <w:szCs w:val="20"/>
          <w:color w:val="auto"/>
        </w:rPr>
      </w:pPr>
      <w:r>
        <w:rPr>
          <w:rFonts w:ascii="Times New Roman" w:cs="Times New Roman" w:eastAsia="Times New Roman" w:hAnsi="Times New Roman"/>
          <w:sz w:val="17"/>
          <w:szCs w:val="17"/>
          <w:color w:val="auto"/>
        </w:rPr>
        <w:t>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6.14 </w:t>
      </w:r>
      <w:r>
        <w:rPr>
          <w:rFonts w:ascii="Times New Roman" w:cs="Times New Roman" w:eastAsia="Times New Roman" w:hAnsi="Times New Roman"/>
          <w:sz w:val="17"/>
          <w:szCs w:val="17"/>
          <w:u w:val="single" w:color="auto"/>
          <w:color w:val="auto"/>
        </w:rPr>
        <w:t>Undertaking for Costs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60" w:firstLine="416"/>
        <w:spacing w:after="0" w:line="253" w:lineRule="auto"/>
        <w:rPr>
          <w:sz w:val="20"/>
          <w:szCs w:val="20"/>
          <w:color w:val="auto"/>
        </w:rPr>
      </w:pPr>
      <w:r>
        <w:rPr>
          <w:rFonts w:ascii="Times New Roman" w:cs="Times New Roman" w:eastAsia="Times New Roman" w:hAnsi="Times New Roman"/>
          <w:sz w:val="17"/>
          <w:szCs w:val="17"/>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ARTICLE VII.</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TRUSTEE</w:t>
      </w:r>
    </w:p>
    <w:p>
      <w:pPr>
        <w:spacing w:after="0" w:line="1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7.1 </w:t>
      </w:r>
      <w:r>
        <w:rPr>
          <w:rFonts w:ascii="Times New Roman" w:cs="Times New Roman" w:eastAsia="Times New Roman" w:hAnsi="Times New Roman"/>
          <w:sz w:val="17"/>
          <w:szCs w:val="17"/>
          <w:u w:val="single" w:color="auto"/>
          <w:color w:val="auto"/>
        </w:rPr>
        <w:t>Duties of Trustee</w:t>
      </w:r>
      <w:r>
        <w:rPr>
          <w:rFonts w:ascii="Times New Roman" w:cs="Times New Roman" w:eastAsia="Times New Roman" w:hAnsi="Times New Roman"/>
          <w:sz w:val="17"/>
          <w:szCs w:val="17"/>
          <w:color w:val="auto"/>
        </w:rPr>
        <w:t>.</w:t>
      </w:r>
    </w:p>
    <w:p>
      <w:pPr>
        <w:spacing w:after="0" w:line="110" w:lineRule="exact"/>
        <w:rPr>
          <w:sz w:val="20"/>
          <w:szCs w:val="20"/>
          <w:color w:val="auto"/>
        </w:rPr>
      </w:pPr>
    </w:p>
    <w:p>
      <w:pPr>
        <w:ind w:left="420" w:right="160" w:firstLine="403"/>
        <w:spacing w:after="0" w:line="264" w:lineRule="auto"/>
        <w:tabs>
          <w:tab w:leader="none" w:pos="105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68" w:lineRule="exact"/>
        <w:rPr>
          <w:rFonts w:ascii="Times New Roman" w:cs="Times New Roman" w:eastAsia="Times New Roman" w:hAnsi="Times New Roman"/>
          <w:sz w:val="17"/>
          <w:szCs w:val="17"/>
          <w:color w:val="auto"/>
        </w:rPr>
      </w:pPr>
    </w:p>
    <w:p>
      <w:pPr>
        <w:ind w:left="1060" w:hanging="237"/>
        <w:spacing w:after="0"/>
        <w:tabs>
          <w:tab w:leader="none" w:pos="106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during the continuance of an Event of Default:</w:t>
      </w:r>
    </w:p>
    <w:p>
      <w:pPr>
        <w:spacing w:after="0" w:line="110" w:lineRule="exact"/>
        <w:rPr>
          <w:rFonts w:ascii="Times New Roman" w:cs="Times New Roman" w:eastAsia="Times New Roman" w:hAnsi="Times New Roman"/>
          <w:sz w:val="17"/>
          <w:szCs w:val="17"/>
          <w:color w:val="auto"/>
        </w:rPr>
      </w:pPr>
    </w:p>
    <w:p>
      <w:pPr>
        <w:ind w:left="1520" w:hanging="198"/>
        <w:spacing w:after="0"/>
        <w:tabs>
          <w:tab w:leader="none" w:pos="1520" w:val="left"/>
        </w:tabs>
        <w:numPr>
          <w:ilvl w:val="1"/>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need perform only those duties that are specifically set forth in this Indenture and no others.</w:t>
      </w:r>
    </w:p>
    <w:p>
      <w:pPr>
        <w:spacing w:after="0" w:line="110" w:lineRule="exact"/>
        <w:rPr>
          <w:rFonts w:ascii="Times New Roman" w:cs="Times New Roman" w:eastAsia="Times New Roman" w:hAnsi="Times New Roman"/>
          <w:sz w:val="17"/>
          <w:szCs w:val="17"/>
          <w:color w:val="auto"/>
        </w:rPr>
      </w:pPr>
    </w:p>
    <w:p>
      <w:pPr>
        <w:ind w:left="940" w:right="200" w:firstLine="382"/>
        <w:spacing w:after="0" w:line="264" w:lineRule="auto"/>
        <w:tabs>
          <w:tab w:leader="none" w:pos="1568" w:val="left"/>
        </w:tabs>
        <w:numPr>
          <w:ilvl w:val="1"/>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0380"/>
          </w:cols>
          <w:pgMar w:left="740" w:top="263" w:right="779" w:bottom="1440" w:gutter="0" w:footer="0" w:header="0"/>
        </w:sectPr>
      </w:pPr>
    </w:p>
    <w:bookmarkStart w:id="147" w:name="page148"/>
    <w:bookmarkEnd w:id="147"/>
    <w:p>
      <w:pPr>
        <w:ind w:left="520"/>
        <w:spacing w:after="0" w:line="26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5">
                      <a:extLst>
                        <a:ext uri="{28A0092B-C50C-407E-A947-70E740481C1C}"/>
                      </a:extLst>
                    </a:blip>
                    <a:srcRect/>
                    <a:stretch>
                      <a:fillRect/>
                    </a:stretch>
                  </pic:blipFill>
                  <pic:spPr bwMode="auto">
                    <a:xfrm>
                      <a:off x="0" y="0"/>
                      <a:ext cx="7181850" cy="36830"/>
                    </a:xfrm>
                    <a:prstGeom prst="rect">
                      <a:avLst/>
                    </a:prstGeom>
                    <a:noFill/>
                  </pic:spPr>
                </pic:pic>
              </a:graphicData>
            </a:graphic>
          </wp:anchor>
        </w:drawing>
        <w:t>however,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w:t>
      </w:r>
    </w:p>
    <w:p>
      <w:pPr>
        <w:spacing w:after="0" w:line="68" w:lineRule="exact"/>
        <w:rPr>
          <w:sz w:val="20"/>
          <w:szCs w:val="20"/>
          <w:color w:val="auto"/>
        </w:rPr>
      </w:pPr>
    </w:p>
    <w:p>
      <w:pPr>
        <w:ind w:right="60" w:firstLine="403"/>
        <w:spacing w:after="0" w:line="279" w:lineRule="auto"/>
        <w:tabs>
          <w:tab w:leader="none" w:pos="63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not be relieved from liability for its own negligent action, its own negligent failure to act or its own willful misconduct, except that:</w:t>
      </w:r>
    </w:p>
    <w:p>
      <w:pPr>
        <w:spacing w:after="0" w:line="54" w:lineRule="exact"/>
        <w:rPr>
          <w:rFonts w:ascii="Times New Roman" w:cs="Times New Roman" w:eastAsia="Times New Roman" w:hAnsi="Times New Roman"/>
          <w:sz w:val="17"/>
          <w:szCs w:val="17"/>
          <w:color w:val="auto"/>
        </w:rPr>
      </w:pPr>
    </w:p>
    <w:p>
      <w:pPr>
        <w:ind w:left="1100" w:hanging="198"/>
        <w:spacing w:after="0"/>
        <w:tabs>
          <w:tab w:leader="none" w:pos="1100"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paragraph does not limit the effect of paragraph (b) of this Section.</w:t>
      </w:r>
    </w:p>
    <w:p>
      <w:pPr>
        <w:spacing w:after="0" w:line="110" w:lineRule="exact"/>
        <w:rPr>
          <w:rFonts w:ascii="Times New Roman" w:cs="Times New Roman" w:eastAsia="Times New Roman" w:hAnsi="Times New Roman"/>
          <w:sz w:val="17"/>
          <w:szCs w:val="17"/>
          <w:color w:val="auto"/>
        </w:rPr>
      </w:pPr>
    </w:p>
    <w:p>
      <w:pPr>
        <w:ind w:left="520" w:right="100" w:firstLine="382"/>
        <w:spacing w:after="0" w:line="279" w:lineRule="auto"/>
        <w:tabs>
          <w:tab w:leader="none" w:pos="1148"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be liable for any error of judgment made in good faith by a Responsible Officer, unless it is proved that the Trustee was negligent in ascertaining the pertinent facts.</w:t>
      </w:r>
    </w:p>
    <w:p>
      <w:pPr>
        <w:spacing w:after="0" w:line="54" w:lineRule="exact"/>
        <w:rPr>
          <w:rFonts w:ascii="Times New Roman" w:cs="Times New Roman" w:eastAsia="Times New Roman" w:hAnsi="Times New Roman"/>
          <w:sz w:val="17"/>
          <w:szCs w:val="17"/>
          <w:color w:val="auto"/>
        </w:rPr>
      </w:pPr>
    </w:p>
    <w:p>
      <w:pPr>
        <w:ind w:left="520" w:right="60" w:firstLine="382"/>
        <w:spacing w:after="0" w:line="254" w:lineRule="auto"/>
        <w:tabs>
          <w:tab w:leader="none" w:pos="1195"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w:t>
      </w:r>
    </w:p>
    <w:p>
      <w:pPr>
        <w:spacing w:after="0" w:line="2" w:lineRule="exact"/>
        <w:rPr>
          <w:rFonts w:ascii="Times New Roman" w:cs="Times New Roman" w:eastAsia="Times New Roman" w:hAnsi="Times New Roman"/>
          <w:sz w:val="17"/>
          <w:szCs w:val="17"/>
          <w:color w:val="auto"/>
        </w:rPr>
      </w:pPr>
    </w:p>
    <w:p>
      <w:pPr>
        <w:ind w:left="5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6.12.</w:t>
      </w:r>
    </w:p>
    <w:p>
      <w:pPr>
        <w:spacing w:after="0" w:line="94" w:lineRule="exact"/>
        <w:rPr>
          <w:rFonts w:ascii="Times New Roman" w:cs="Times New Roman" w:eastAsia="Times New Roman" w:hAnsi="Times New Roman"/>
          <w:sz w:val="17"/>
          <w:szCs w:val="17"/>
          <w:color w:val="auto"/>
        </w:rPr>
      </w:pPr>
    </w:p>
    <w:p>
      <w:pPr>
        <w:ind w:left="640" w:hanging="237"/>
        <w:spacing w:after="0"/>
        <w:tabs>
          <w:tab w:leader="none" w:pos="64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Every provision of this Indenture that in any way relates to the Trustee is subject to paragraph (a), (b) and (c) of this Section.</w:t>
      </w:r>
    </w:p>
    <w:p>
      <w:pPr>
        <w:spacing w:after="0" w:line="110" w:lineRule="exact"/>
        <w:rPr>
          <w:rFonts w:ascii="Times New Roman" w:cs="Times New Roman" w:eastAsia="Times New Roman" w:hAnsi="Times New Roman"/>
          <w:sz w:val="17"/>
          <w:szCs w:val="17"/>
          <w:color w:val="auto"/>
        </w:rPr>
      </w:pPr>
    </w:p>
    <w:p>
      <w:pPr>
        <w:ind w:firstLine="403"/>
        <w:spacing w:after="0" w:line="279" w:lineRule="auto"/>
        <w:tabs>
          <w:tab w:leader="none" w:pos="63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refuse to perform any duty or exercise any right or power unless it receives indemnity satisfactory to it against the costs, expenses and liabilities which might be incurred by it in performing such duty or exercising such right or power.</w:t>
      </w:r>
    </w:p>
    <w:p>
      <w:pPr>
        <w:spacing w:after="0" w:line="54" w:lineRule="exact"/>
        <w:rPr>
          <w:rFonts w:ascii="Times New Roman" w:cs="Times New Roman" w:eastAsia="Times New Roman" w:hAnsi="Times New Roman"/>
          <w:sz w:val="17"/>
          <w:szCs w:val="17"/>
          <w:color w:val="auto"/>
        </w:rPr>
      </w:pPr>
    </w:p>
    <w:p>
      <w:pPr>
        <w:ind w:right="320" w:firstLine="403"/>
        <w:spacing w:after="0" w:line="279" w:lineRule="auto"/>
        <w:tabs>
          <w:tab w:leader="none" w:pos="611"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54" w:lineRule="exact"/>
        <w:rPr>
          <w:rFonts w:ascii="Times New Roman" w:cs="Times New Roman" w:eastAsia="Times New Roman" w:hAnsi="Times New Roman"/>
          <w:sz w:val="17"/>
          <w:szCs w:val="17"/>
          <w:color w:val="auto"/>
        </w:rPr>
      </w:pPr>
    </w:p>
    <w:p>
      <w:pPr>
        <w:ind w:right="80" w:firstLine="403"/>
        <w:spacing w:after="0" w:line="264" w:lineRule="auto"/>
        <w:tabs>
          <w:tab w:leader="none" w:pos="639"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provision of this Indenture shall require the Trustee to risk its own funds or otherwise incur any financial liability in the performance of any of its duties, or in the exercise of any of its rights or powers, if adequate indemnity against such risk is not assured to the Trustee in its satisfaction.</w:t>
      </w:r>
    </w:p>
    <w:p>
      <w:pPr>
        <w:spacing w:after="0" w:line="68" w:lineRule="exact"/>
        <w:rPr>
          <w:rFonts w:ascii="Times New Roman" w:cs="Times New Roman" w:eastAsia="Times New Roman" w:hAnsi="Times New Roman"/>
          <w:sz w:val="17"/>
          <w:szCs w:val="17"/>
          <w:color w:val="auto"/>
        </w:rPr>
      </w:pPr>
    </w:p>
    <w:p>
      <w:pPr>
        <w:ind w:right="520" w:firstLine="403"/>
        <w:spacing w:after="0" w:line="279" w:lineRule="auto"/>
        <w:tabs>
          <w:tab w:leader="none" w:pos="639"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Paying Agent, the Registrar and any authenticating agent shall be entitled to the protections and immunities as are set forth in paragraphs (e), (f) and (g) of this Section and in Section 7.2, each with respect to the Trustee.</w:t>
      </w:r>
    </w:p>
    <w:p>
      <w:pPr>
        <w:spacing w:after="0" w:line="9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9980"/>
          </w:cols>
          <w:pgMar w:left="1160" w:top="263" w:right="7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6">
                      <a:extLst>
                        <a:ext uri="{28A0092B-C50C-407E-A947-70E740481C1C}"/>
                      </a:extLst>
                    </a:blip>
                    <a:srcRect/>
                    <a:stretch>
                      <a:fillRect/>
                    </a:stretch>
                  </pic:blipFill>
                  <pic:spPr bwMode="auto">
                    <a:xfrm>
                      <a:off x="0" y="0"/>
                      <a:ext cx="7181850" cy="36830"/>
                    </a:xfrm>
                    <a:prstGeom prst="rect">
                      <a:avLst/>
                    </a:prstGeom>
                    <a:noFill/>
                  </pic:spPr>
                </pic:pic>
              </a:graphicData>
            </a:graphic>
          </wp:anchor>
        </w:drawing>
        <w:t xml:space="preserve">Section 7.2 </w:t>
      </w:r>
      <w:r>
        <w:rPr>
          <w:rFonts w:ascii="Times New Roman" w:cs="Times New Roman" w:eastAsia="Times New Roman" w:hAnsi="Times New Roman"/>
          <w:sz w:val="17"/>
          <w:szCs w:val="17"/>
          <w:u w:val="single" w:color="auto"/>
          <w:color w:val="auto"/>
        </w:rPr>
        <w:t>Rights of Trustee</w:t>
      </w:r>
      <w:r>
        <w:rPr>
          <w:rFonts w:ascii="Times New Roman" w:cs="Times New Roman" w:eastAsia="Times New Roman" w:hAnsi="Times New Roman"/>
          <w:sz w:val="17"/>
          <w:szCs w:val="17"/>
          <w:color w:val="auto"/>
        </w:rPr>
        <w:t>.</w:t>
      </w:r>
    </w:p>
    <w:p>
      <w:pPr>
        <w:spacing w:after="0" w:line="110" w:lineRule="exact"/>
        <w:rPr>
          <w:sz w:val="20"/>
          <w:szCs w:val="20"/>
          <w:color w:val="auto"/>
        </w:rPr>
      </w:pPr>
    </w:p>
    <w:p>
      <w:pPr>
        <w:ind w:right="100" w:firstLine="403"/>
        <w:spacing w:after="0" w:line="264" w:lineRule="auto"/>
        <w:tabs>
          <w:tab w:leader="none" w:pos="63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w:t>
      </w:r>
    </w:p>
    <w:p>
      <w:pPr>
        <w:spacing w:after="0" w:line="68" w:lineRule="exact"/>
        <w:rPr>
          <w:rFonts w:ascii="Times New Roman" w:cs="Times New Roman" w:eastAsia="Times New Roman" w:hAnsi="Times New Roman"/>
          <w:sz w:val="17"/>
          <w:szCs w:val="17"/>
          <w:color w:val="auto"/>
        </w:rPr>
      </w:pPr>
    </w:p>
    <w:p>
      <w:pPr>
        <w:ind w:right="320" w:firstLine="403"/>
        <w:spacing w:after="0" w:line="311" w:lineRule="auto"/>
        <w:tabs>
          <w:tab w:leader="none" w:pos="639"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spacing w:after="0" w:line="32" w:lineRule="exact"/>
        <w:rPr>
          <w:rFonts w:ascii="Times New Roman" w:cs="Times New Roman" w:eastAsia="Times New Roman" w:hAnsi="Times New Roman"/>
          <w:sz w:val="16"/>
          <w:szCs w:val="16"/>
          <w:color w:val="auto"/>
        </w:rPr>
      </w:pPr>
    </w:p>
    <w:p>
      <w:pPr>
        <w:ind w:right="80" w:firstLine="403"/>
        <w:spacing w:after="0" w:line="279" w:lineRule="auto"/>
        <w:tabs>
          <w:tab w:leader="none" w:pos="63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act through agents and shall not be responsible for the misconduct or negligence of any agent appointed with due care. No Depositary shall be deemed an agent of the Trustee and the Trustee shall not be responsible for any act or omission by any Depositary.</w:t>
      </w:r>
    </w:p>
    <w:p>
      <w:pPr>
        <w:spacing w:after="0" w:line="54" w:lineRule="exact"/>
        <w:rPr>
          <w:rFonts w:ascii="Times New Roman" w:cs="Times New Roman" w:eastAsia="Times New Roman" w:hAnsi="Times New Roman"/>
          <w:sz w:val="17"/>
          <w:szCs w:val="17"/>
          <w:color w:val="auto"/>
        </w:rPr>
      </w:pPr>
    </w:p>
    <w:p>
      <w:pPr>
        <w:ind w:right="100" w:firstLine="403"/>
        <w:spacing w:after="0" w:line="279" w:lineRule="auto"/>
        <w:tabs>
          <w:tab w:leader="none" w:pos="639"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be liable for any action it takes or omits to take in good faith which it believes to be authorized or within its rights or powers, provided that the Trustee’s conduct does not constitute willful misconduct or negligence.</w:t>
      </w:r>
    </w:p>
    <w:p>
      <w:pPr>
        <w:spacing w:after="0" w:line="54" w:lineRule="exact"/>
        <w:rPr>
          <w:rFonts w:ascii="Times New Roman" w:cs="Times New Roman" w:eastAsia="Times New Roman" w:hAnsi="Times New Roman"/>
          <w:sz w:val="17"/>
          <w:szCs w:val="17"/>
          <w:color w:val="auto"/>
        </w:rPr>
      </w:pPr>
    </w:p>
    <w:p>
      <w:pPr>
        <w:ind w:right="20" w:firstLine="403"/>
        <w:spacing w:after="0" w:line="264" w:lineRule="auto"/>
        <w:tabs>
          <w:tab w:leader="none" w:pos="63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consult with counsel and the advice of such counsel or any Opinion of Counsel shall be full and complete authorization and protection in respect of any action taken, suffered or omitted by it hereunder without willful misconduct or negligence, and in reliance thereon.</w:t>
      </w:r>
    </w:p>
    <w:p>
      <w:pPr>
        <w:spacing w:after="0" w:line="68" w:lineRule="exact"/>
        <w:rPr>
          <w:rFonts w:ascii="Times New Roman" w:cs="Times New Roman" w:eastAsia="Times New Roman" w:hAnsi="Times New Roman"/>
          <w:sz w:val="17"/>
          <w:szCs w:val="17"/>
          <w:color w:val="auto"/>
        </w:rPr>
      </w:pPr>
    </w:p>
    <w:p>
      <w:pPr>
        <w:ind w:firstLine="403"/>
        <w:spacing w:after="0" w:line="264" w:lineRule="auto"/>
        <w:tabs>
          <w:tab w:leader="none" w:pos="611"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be under no obligation to exercise any of the rights or powers vested in it by this Indenture at the request or direction of any of the Holders of Securities unless such Holders shall have offered to the Trustee security or indemnity satisfactory to it against the costs, expenses and liabilities which might be incurred by it in compliance with such request or direction.</w:t>
      </w:r>
    </w:p>
    <w:p>
      <w:pPr>
        <w:spacing w:after="0" w:line="68" w:lineRule="exact"/>
        <w:rPr>
          <w:rFonts w:ascii="Times New Roman" w:cs="Times New Roman" w:eastAsia="Times New Roman" w:hAnsi="Times New Roman"/>
          <w:sz w:val="17"/>
          <w:szCs w:val="17"/>
          <w:color w:val="auto"/>
        </w:rPr>
      </w:pPr>
    </w:p>
    <w:p>
      <w:pPr>
        <w:ind w:right="400" w:firstLine="403"/>
        <w:spacing w:after="0" w:line="264" w:lineRule="auto"/>
        <w:tabs>
          <w:tab w:leader="none" w:pos="639"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68" w:lineRule="exact"/>
        <w:rPr>
          <w:rFonts w:ascii="Times New Roman" w:cs="Times New Roman" w:eastAsia="Times New Roman" w:hAnsi="Times New Roman"/>
          <w:sz w:val="17"/>
          <w:szCs w:val="17"/>
          <w:color w:val="auto"/>
        </w:rPr>
      </w:pPr>
    </w:p>
    <w:p>
      <w:pPr>
        <w:ind w:right="40" w:firstLine="403"/>
        <w:spacing w:after="0" w:line="264" w:lineRule="auto"/>
        <w:tabs>
          <w:tab w:leader="none" w:pos="639"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generally or the Securities of a particular Series and this Indenture.</w:t>
      </w:r>
    </w:p>
    <w:p>
      <w:pPr>
        <w:spacing w:after="0" w:line="68" w:lineRule="exact"/>
        <w:rPr>
          <w:rFonts w:ascii="Times New Roman" w:cs="Times New Roman" w:eastAsia="Times New Roman" w:hAnsi="Times New Roman"/>
          <w:sz w:val="17"/>
          <w:szCs w:val="17"/>
          <w:color w:val="auto"/>
        </w:rPr>
      </w:pPr>
    </w:p>
    <w:p>
      <w:pPr>
        <w:ind w:right="40" w:firstLine="403"/>
        <w:spacing w:after="0" w:line="279" w:lineRule="auto"/>
        <w:tabs>
          <w:tab w:leader="none" w:pos="601"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no event shall the Trustee be liable to any person for special, punitive, indirect, consequential or incidental loss or damage of any kind whatsoever (including but not limited to lost profits), even if the Trustee has been advised of the likelihood of such loss or damage.</w:t>
      </w:r>
    </w:p>
    <w:p>
      <w:pPr>
        <w:spacing w:after="0" w:line="9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9940"/>
          </w:cols>
          <w:pgMar w:left="1160" w:top="263" w:right="799" w:bottom="1440" w:gutter="0" w:footer="0" w:header="0"/>
        </w:sectPr>
      </w:pPr>
    </w:p>
    <w:bookmarkStart w:id="149" w:name="page150"/>
    <w:bookmarkEnd w:id="149"/>
    <w:p>
      <w:pPr>
        <w:ind w:left="420" w:firstLine="403"/>
        <w:spacing w:after="0" w:line="500" w:lineRule="auto"/>
        <w:tabs>
          <w:tab w:leader="none" w:pos="1021"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7">
                      <a:extLst>
                        <a:ext uri="{28A0092B-C50C-407E-A947-70E740481C1C}"/>
                      </a:extLst>
                    </a:blip>
                    <a:srcRect/>
                    <a:stretch>
                      <a:fillRect/>
                    </a:stretch>
                  </pic:blipFill>
                  <pic:spPr bwMode="auto">
                    <a:xfrm>
                      <a:off x="0" y="0"/>
                      <a:ext cx="7181850" cy="36830"/>
                    </a:xfrm>
                    <a:prstGeom prst="rect">
                      <a:avLst/>
                    </a:prstGeom>
                    <a:noFill/>
                  </pic:spPr>
                </pic:pic>
              </a:graphicData>
            </a:graphic>
          </wp:anchor>
        </w:drawing>
        <w:t xml:space="preserve">The permissive right of the Trustee to take the actions permitted by this Indenture shall not be construed as an obligation or duty to do so. Section 7.3 </w:t>
      </w:r>
      <w:r>
        <w:rPr>
          <w:rFonts w:ascii="Times New Roman" w:cs="Times New Roman" w:eastAsia="Times New Roman" w:hAnsi="Times New Roman"/>
          <w:sz w:val="17"/>
          <w:szCs w:val="17"/>
          <w:u w:val="single" w:color="auto"/>
          <w:color w:val="auto"/>
        </w:rPr>
        <w:t>Individual Rights of Trustee</w:t>
      </w:r>
      <w:r>
        <w:rPr>
          <w:rFonts w:ascii="Times New Roman" w:cs="Times New Roman" w:eastAsia="Times New Roman" w:hAnsi="Times New Roman"/>
          <w:sz w:val="17"/>
          <w:szCs w:val="17"/>
          <w:color w:val="auto"/>
        </w:rPr>
        <w:t>.</w:t>
      </w:r>
    </w:p>
    <w:p>
      <w:pPr>
        <w:jc w:val="both"/>
        <w:ind w:right="140" w:firstLine="416"/>
        <w:spacing w:after="0" w:line="264" w:lineRule="auto"/>
        <w:rPr>
          <w:sz w:val="20"/>
          <w:szCs w:val="20"/>
          <w:color w:val="auto"/>
        </w:rPr>
      </w:pPr>
      <w:r>
        <w:rPr>
          <w:rFonts w:ascii="Times New Roman" w:cs="Times New Roman" w:eastAsia="Times New Roman" w:hAnsi="Times New Roman"/>
          <w:sz w:val="17"/>
          <w:szCs w:val="17"/>
          <w:color w:val="auto"/>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w:t>
      </w:r>
    </w:p>
    <w:p>
      <w:pPr>
        <w:spacing w:after="0" w:line="1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7.4 </w:t>
      </w:r>
      <w:r>
        <w:rPr>
          <w:rFonts w:ascii="Times New Roman" w:cs="Times New Roman" w:eastAsia="Times New Roman" w:hAnsi="Times New Roman"/>
          <w:sz w:val="17"/>
          <w:szCs w:val="17"/>
          <w:u w:val="single" w:color="auto"/>
          <w:color w:val="auto"/>
        </w:rPr>
        <w:t>Trustee’s Disclaimer</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460" w:firstLine="416"/>
        <w:spacing w:after="0" w:line="311" w:lineRule="auto"/>
        <w:rPr>
          <w:sz w:val="20"/>
          <w:szCs w:val="20"/>
          <w:color w:val="auto"/>
        </w:rPr>
      </w:pPr>
      <w:r>
        <w:rPr>
          <w:rFonts w:ascii="Times New Roman" w:cs="Times New Roman" w:eastAsia="Times New Roman" w:hAnsi="Times New Roman"/>
          <w:sz w:val="16"/>
          <w:szCs w:val="16"/>
          <w:color w:val="auto"/>
        </w:rPr>
        <w:t>The Trustee makes no representation as to the validity or adequacy of this Indenture or the Securities, it shall not be accountable for the Company’s use of the proceeds from the Securities, and it shall not be responsible for any statement in the Securities other than its authentication.</w:t>
      </w:r>
    </w:p>
    <w:p>
      <w:pPr>
        <w:spacing w:after="0" w:line="1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7.5 </w:t>
      </w:r>
      <w:r>
        <w:rPr>
          <w:rFonts w:ascii="Times New Roman" w:cs="Times New Roman" w:eastAsia="Times New Roman" w:hAnsi="Times New Roman"/>
          <w:sz w:val="17"/>
          <w:szCs w:val="17"/>
          <w:u w:val="single" w:color="auto"/>
          <w:color w:val="auto"/>
        </w:rPr>
        <w:t>Notice of Defaults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20" w:firstLine="416"/>
        <w:spacing w:after="0" w:line="255" w:lineRule="auto"/>
        <w:rPr>
          <w:sz w:val="20"/>
          <w:szCs w:val="20"/>
          <w:color w:val="auto"/>
        </w:rPr>
      </w:pPr>
      <w:r>
        <w:rPr>
          <w:rFonts w:ascii="Times New Roman" w:cs="Times New Roman" w:eastAsia="Times New Roman" w:hAnsi="Times New Roman"/>
          <w:sz w:val="17"/>
          <w:szCs w:val="17"/>
          <w:color w:val="auto"/>
        </w:rPr>
        <w:t>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its corporate trust committee or a committee of its Responsible Officers in good faith determines that withholding the notice is in the interests of Securityholders of that Series.</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7.6 </w:t>
      </w:r>
      <w:r>
        <w:rPr>
          <w:rFonts w:ascii="Times New Roman" w:cs="Times New Roman" w:eastAsia="Times New Roman" w:hAnsi="Times New Roman"/>
          <w:sz w:val="17"/>
          <w:szCs w:val="17"/>
          <w:u w:val="single" w:color="auto"/>
          <w:color w:val="auto"/>
        </w:rPr>
        <w:t>Reports by Trustee to Holders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60" w:firstLine="416"/>
        <w:spacing w:after="0" w:line="279" w:lineRule="auto"/>
        <w:rPr>
          <w:sz w:val="20"/>
          <w:szCs w:val="20"/>
          <w:color w:val="auto"/>
        </w:rPr>
      </w:pPr>
      <w:r>
        <w:rPr>
          <w:rFonts w:ascii="Times New Roman" w:cs="Times New Roman" w:eastAsia="Times New Roman" w:hAnsi="Times New Roman"/>
          <w:sz w:val="17"/>
          <w:szCs w:val="17"/>
          <w:color w:val="auto"/>
        </w:rPr>
        <w:t>Within 60 days after each [ ] commencing [ ], [ ], the Trustee shall transmit by mail to all Securityholders, as their names and addresses appear on the register kept by the Registrar, a brief report dated as of such anniversary date, in accordance with, and to the extent required under, TIA § 313.</w:t>
      </w:r>
    </w:p>
    <w:p>
      <w:pPr>
        <w:spacing w:after="0" w:line="157" w:lineRule="exact"/>
        <w:rPr>
          <w:sz w:val="20"/>
          <w:szCs w:val="20"/>
          <w:color w:val="auto"/>
        </w:rPr>
      </w:pPr>
    </w:p>
    <w:p>
      <w:pPr>
        <w:ind w:right="80" w:firstLine="416"/>
        <w:spacing w:after="0" w:line="264" w:lineRule="auto"/>
        <w:rPr>
          <w:sz w:val="20"/>
          <w:szCs w:val="20"/>
          <w:color w:val="auto"/>
        </w:rPr>
      </w:pPr>
      <w:r>
        <w:rPr>
          <w:rFonts w:ascii="Times New Roman" w:cs="Times New Roman" w:eastAsia="Times New Roman" w:hAnsi="Times New Roman"/>
          <w:sz w:val="17"/>
          <w:szCs w:val="17"/>
          <w:color w:val="auto"/>
        </w:rPr>
        <w:t>A copy of each report at the time of its mailing to Securityholders of any Series shall be filed with the SEC and each national securities exchange on which the Securities of that Series are listed. The Company shall promptly notify the Trustee in writing when Securities of any Series are listed on any national securities exchange.</w:t>
      </w:r>
    </w:p>
    <w:p>
      <w:pPr>
        <w:spacing w:after="0" w:line="1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7.7 </w:t>
      </w:r>
      <w:r>
        <w:rPr>
          <w:rFonts w:ascii="Times New Roman" w:cs="Times New Roman" w:eastAsia="Times New Roman" w:hAnsi="Times New Roman"/>
          <w:sz w:val="17"/>
          <w:szCs w:val="17"/>
          <w:u w:val="single" w:color="auto"/>
          <w:color w:val="auto"/>
        </w:rPr>
        <w:t>Compensation and Indemnity</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80" w:firstLine="416"/>
        <w:spacing w:after="0" w:line="259" w:lineRule="auto"/>
        <w:rPr>
          <w:sz w:val="20"/>
          <w:szCs w:val="20"/>
          <w:color w:val="auto"/>
        </w:rPr>
      </w:pPr>
      <w:r>
        <w:rPr>
          <w:rFonts w:ascii="Times New Roman" w:cs="Times New Roman" w:eastAsia="Times New Roman" w:hAnsi="Times New Roman"/>
          <w:sz w:val="17"/>
          <w:szCs w:val="17"/>
          <w:color w:val="auto"/>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 of pocket expenses incurred by it. Such expenses shall include the reasonable compensation and expenses of the Trustee’s agents and counsel.</w:t>
      </w:r>
    </w:p>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0360"/>
          </w:cols>
          <w:pgMar w:left="740" w:top="263" w:right="799" w:bottom="1440" w:gutter="0" w:footer="0" w:header="0"/>
        </w:sectPr>
      </w:pPr>
    </w:p>
    <w:bookmarkStart w:id="150" w:name="page151"/>
    <w:bookmarkEnd w:id="150"/>
    <w:p>
      <w:pPr>
        <w:ind w:right="100" w:firstLine="416"/>
        <w:spacing w:after="0" w:line="25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8">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The Company shall indemnify each of the Trustee and any predecessor Trustee (including for the cost of defending itself) against any cost, expense or liability, including taxes (other than taxes based upon, measured by or determined by the income of the Trustee) incurred by it except as set forth in the next paragraph in the performance of its duties under this Indenture as Trustee or Agent. The Trustee shall notify the Company promptly of any claim for which it 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w:t>
      </w:r>
    </w:p>
    <w:p>
      <w:pPr>
        <w:spacing w:after="0" w:line="179" w:lineRule="exact"/>
        <w:rPr>
          <w:sz w:val="20"/>
          <w:szCs w:val="20"/>
          <w:color w:val="auto"/>
        </w:rPr>
      </w:pPr>
    </w:p>
    <w:p>
      <w:pPr>
        <w:ind w:right="520" w:firstLine="416"/>
        <w:spacing w:after="0" w:line="279" w:lineRule="auto"/>
        <w:rPr>
          <w:sz w:val="20"/>
          <w:szCs w:val="20"/>
          <w:color w:val="auto"/>
        </w:rPr>
      </w:pPr>
      <w:r>
        <w:rPr>
          <w:rFonts w:ascii="Times New Roman" w:cs="Times New Roman" w:eastAsia="Times New Roman" w:hAnsi="Times New Roman"/>
          <w:sz w:val="17"/>
          <w:szCs w:val="17"/>
          <w:color w:val="auto"/>
        </w:rPr>
        <w:t>The Company need not reimburse any expense or indemnify against any loss or liability incurred by the Trustee or by any officer, director, employee, shareholder or agent of the Trustee through willful misconduct or negligence.</w:t>
      </w:r>
    </w:p>
    <w:p>
      <w:pPr>
        <w:spacing w:after="0" w:line="157" w:lineRule="exact"/>
        <w:rPr>
          <w:sz w:val="20"/>
          <w:szCs w:val="20"/>
          <w:color w:val="auto"/>
        </w:rPr>
      </w:pPr>
    </w:p>
    <w:p>
      <w:pPr>
        <w:ind w:right="260" w:firstLine="416"/>
        <w:spacing w:after="0" w:line="279" w:lineRule="auto"/>
        <w:rPr>
          <w:sz w:val="20"/>
          <w:szCs w:val="20"/>
          <w:color w:val="auto"/>
        </w:rPr>
      </w:pPr>
      <w:r>
        <w:rPr>
          <w:rFonts w:ascii="Times New Roman" w:cs="Times New Roman" w:eastAsia="Times New Roman" w:hAnsi="Times New Roman"/>
          <w:sz w:val="17"/>
          <w:szCs w:val="17"/>
          <w:color w:val="auto"/>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spacing w:after="0" w:line="157" w:lineRule="exact"/>
        <w:rPr>
          <w:sz w:val="20"/>
          <w:szCs w:val="20"/>
          <w:color w:val="auto"/>
        </w:rPr>
      </w:pPr>
    </w:p>
    <w:p>
      <w:pPr>
        <w:ind w:right="360" w:firstLine="416"/>
        <w:spacing w:after="0" w:line="279" w:lineRule="auto"/>
        <w:rPr>
          <w:sz w:val="20"/>
          <w:szCs w:val="20"/>
          <w:color w:val="auto"/>
        </w:rPr>
      </w:pPr>
      <w:r>
        <w:rPr>
          <w:rFonts w:ascii="Times New Roman" w:cs="Times New Roman" w:eastAsia="Times New Roman" w:hAnsi="Times New Roman"/>
          <w:sz w:val="17"/>
          <w:szCs w:val="17"/>
          <w:color w:val="auto"/>
        </w:rPr>
        <w:t>When the Trustee incurs expenses or renders services after an Event of Default specified in Section 6.1(d) or (e) occurs, the expenses and the compensation for the services are intended to constitute expenses of administration under any Bankruptcy Law.</w:t>
      </w:r>
    </w:p>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provisions of this Section shall survive the termination of this Indenture.</w:t>
      </w: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7.8 </w:t>
      </w:r>
      <w:r>
        <w:rPr>
          <w:rFonts w:ascii="Times New Roman" w:cs="Times New Roman" w:eastAsia="Times New Roman" w:hAnsi="Times New Roman"/>
          <w:sz w:val="17"/>
          <w:szCs w:val="17"/>
          <w:u w:val="single" w:color="auto"/>
          <w:color w:val="auto"/>
        </w:rPr>
        <w:t>Replacement of Trustee</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640" w:firstLine="416"/>
        <w:spacing w:after="0" w:line="279" w:lineRule="auto"/>
        <w:rPr>
          <w:sz w:val="20"/>
          <w:szCs w:val="20"/>
          <w:color w:val="auto"/>
        </w:rPr>
      </w:pPr>
      <w:r>
        <w:rPr>
          <w:rFonts w:ascii="Times New Roman" w:cs="Times New Roman" w:eastAsia="Times New Roman" w:hAnsi="Times New Roman"/>
          <w:sz w:val="17"/>
          <w:szCs w:val="17"/>
          <w:color w:val="auto"/>
        </w:rPr>
        <w:t>A resignation or removal of the Trustee and appointment of a successor Trustee shall become effective only upon the successor Trustee’s acceptance of appointment as provided in this Section.</w:t>
      </w:r>
    </w:p>
    <w:p>
      <w:pPr>
        <w:spacing w:after="0" w:line="157" w:lineRule="exact"/>
        <w:rPr>
          <w:sz w:val="20"/>
          <w:szCs w:val="20"/>
          <w:color w:val="auto"/>
        </w:rPr>
      </w:pPr>
    </w:p>
    <w:p>
      <w:pPr>
        <w:jc w:val="both"/>
        <w:ind w:right="160" w:firstLine="416"/>
        <w:spacing w:after="0" w:line="264" w:lineRule="auto"/>
        <w:rPr>
          <w:sz w:val="20"/>
          <w:szCs w:val="20"/>
          <w:color w:val="auto"/>
        </w:rPr>
      </w:pPr>
      <w:r>
        <w:rPr>
          <w:rFonts w:ascii="Times New Roman" w:cs="Times New Roman" w:eastAsia="Times New Roman" w:hAnsi="Times New Roman"/>
          <w:sz w:val="17"/>
          <w:szCs w:val="17"/>
          <w:color w:val="auto"/>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The Company may remove the Trustee with respect to Securities of one or more Series if:</w:t>
      </w:r>
    </w:p>
    <w:p>
      <w:pPr>
        <w:spacing w:after="0" w:line="68" w:lineRule="exact"/>
        <w:rPr>
          <w:sz w:val="20"/>
          <w:szCs w:val="20"/>
          <w:color w:val="auto"/>
        </w:rPr>
      </w:pPr>
    </w:p>
    <w:p>
      <w:pPr>
        <w:ind w:left="1060" w:hanging="237"/>
        <w:spacing w:after="0"/>
        <w:tabs>
          <w:tab w:leader="none" w:pos="106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fails to comply with Section 7.10;</w:t>
      </w:r>
    </w:p>
    <w:p>
      <w:pPr>
        <w:spacing w:after="0" w:line="110" w:lineRule="exact"/>
        <w:rPr>
          <w:rFonts w:ascii="Times New Roman" w:cs="Times New Roman" w:eastAsia="Times New Roman" w:hAnsi="Times New Roman"/>
          <w:sz w:val="17"/>
          <w:szCs w:val="17"/>
          <w:color w:val="auto"/>
        </w:rPr>
      </w:pPr>
    </w:p>
    <w:p>
      <w:pPr>
        <w:ind w:left="1060" w:hanging="237"/>
        <w:spacing w:after="0"/>
        <w:tabs>
          <w:tab w:leader="none" w:pos="106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is adjudged a bankrupt or an insolvent or an order for relief is entered with respect to the Trustee under any Bankruptcy Law;</w:t>
      </w:r>
    </w:p>
    <w:p>
      <w:pPr>
        <w:spacing w:after="0" w:line="121" w:lineRule="exact"/>
        <w:rPr>
          <w:rFonts w:ascii="Times New Roman" w:cs="Times New Roman" w:eastAsia="Times New Roman" w:hAnsi="Times New Roman"/>
          <w:sz w:val="16"/>
          <w:szCs w:val="16"/>
          <w:color w:val="auto"/>
        </w:rPr>
      </w:pPr>
    </w:p>
    <w:p>
      <w:pPr>
        <w:ind w:left="1060" w:hanging="237"/>
        <w:spacing w:after="0"/>
        <w:tabs>
          <w:tab w:leader="none" w:pos="106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Custodian or public officer takes charge of the Trustee or its property; or</w:t>
      </w:r>
    </w:p>
    <w:p>
      <w:pPr>
        <w:spacing w:after="0" w:line="110" w:lineRule="exact"/>
        <w:rPr>
          <w:rFonts w:ascii="Times New Roman" w:cs="Times New Roman" w:eastAsia="Times New Roman" w:hAnsi="Times New Roman"/>
          <w:sz w:val="17"/>
          <w:szCs w:val="17"/>
          <w:color w:val="auto"/>
        </w:rPr>
      </w:pPr>
    </w:p>
    <w:p>
      <w:pPr>
        <w:ind w:left="1060" w:hanging="237"/>
        <w:spacing w:after="0"/>
        <w:tabs>
          <w:tab w:leader="none" w:pos="106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becomes incapable of acting.</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0360"/>
          </w:cols>
          <w:pgMar w:left="740" w:top="263" w:right="799" w:bottom="1440" w:gutter="0" w:footer="0" w:header="0"/>
        </w:sectPr>
      </w:pPr>
    </w:p>
    <w:bookmarkStart w:id="151" w:name="page152"/>
    <w:bookmarkEnd w:id="151"/>
    <w:p>
      <w:pPr>
        <w:ind w:right="20" w:firstLine="416"/>
        <w:spacing w:after="0" w:line="26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9">
                      <a:extLst>
                        <a:ext uri="{28A0092B-C50C-407E-A947-70E740481C1C}"/>
                      </a:extLst>
                    </a:blip>
                    <a:srcRect/>
                    <a:stretch>
                      <a:fillRect/>
                    </a:stretch>
                  </pic:blipFill>
                  <pic:spPr bwMode="auto">
                    <a:xfrm>
                      <a:off x="0" y="0"/>
                      <a:ext cx="7181850" cy="36830"/>
                    </a:xfrm>
                    <a:prstGeom prst="rect">
                      <a:avLst/>
                    </a:prstGeom>
                    <a:noFill/>
                  </pic:spPr>
                </pic:pic>
              </a:graphicData>
            </a:graphic>
          </wp:anchor>
        </w:drawing>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w:t>
      </w:r>
    </w:p>
    <w:p>
      <w:pPr>
        <w:spacing w:after="0" w:line="170" w:lineRule="exact"/>
        <w:rPr>
          <w:sz w:val="20"/>
          <w:szCs w:val="20"/>
          <w:color w:val="auto"/>
        </w:rPr>
      </w:pPr>
    </w:p>
    <w:p>
      <w:pPr>
        <w:jc w:val="both"/>
        <w:ind w:firstLine="416"/>
        <w:spacing w:after="0" w:line="264" w:lineRule="auto"/>
        <w:rPr>
          <w:sz w:val="20"/>
          <w:szCs w:val="20"/>
          <w:color w:val="auto"/>
        </w:rPr>
      </w:pPr>
      <w:r>
        <w:rPr>
          <w:rFonts w:ascii="Times New Roman" w:cs="Times New Roman" w:eastAsia="Times New Roman" w:hAnsi="Times New Roman"/>
          <w:sz w:val="17"/>
          <w:szCs w:val="17"/>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 successor Trustee shall deliver a written acceptance of its appointment to the retiring Trustee and to the Company. Immediately after that,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retiring Trustee shall transfer all property held by it as Trustee to the successor Trustee subject to the lien provided for in Section 7.7, the resignation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removal of the retiring Trustee shall become effective, and the successor Trustee shall have all the rights, powers and duties of the Trustee with respect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each Series of Securities for which it is acting as Trustee under this Indenture. A successor Trustee shall mail a notice of its succession to each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Securityholder of each such Series. Notwithstanding replacement of the Trustee pursuant to this Section 7.8, the Company’s obligations under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7.7 hereof shall continue for the benefit of the retiring Trustee with respect to expenses and liabilities incurred by it for actions taken or omitted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be taken in accordance with its rights, powers and duties under this Indenture prior to such replacement.</w:t>
      </w:r>
    </w:p>
    <w:p>
      <w:pPr>
        <w:spacing w:after="0" w:line="1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7.9 </w:t>
      </w:r>
      <w:r>
        <w:rPr>
          <w:rFonts w:ascii="Times New Roman" w:cs="Times New Roman" w:eastAsia="Times New Roman" w:hAnsi="Times New Roman"/>
          <w:sz w:val="17"/>
          <w:szCs w:val="17"/>
          <w:u w:val="single" w:color="auto"/>
          <w:color w:val="auto"/>
        </w:rPr>
        <w:t>Successor Trustee by Merger, Etc</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60" w:firstLine="416"/>
        <w:spacing w:after="0" w:line="279" w:lineRule="auto"/>
        <w:rPr>
          <w:sz w:val="20"/>
          <w:szCs w:val="20"/>
          <w:color w:val="auto"/>
        </w:rPr>
      </w:pPr>
      <w:r>
        <w:rPr>
          <w:rFonts w:ascii="Times New Roman" w:cs="Times New Roman" w:eastAsia="Times New Roman" w:hAnsi="Times New Roman"/>
          <w:sz w:val="17"/>
          <w:szCs w:val="17"/>
          <w:color w:val="auto"/>
        </w:rPr>
        <w:t>If the Trustee consolidates with, merges or converts into, or transfers all or substantially all of its corporate trust business to, another corporation, the successor corporation without any further act shall be the successor Trustee, subject to Section 7.10.</w:t>
      </w:r>
    </w:p>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7.10 </w:t>
      </w:r>
      <w:r>
        <w:rPr>
          <w:rFonts w:ascii="Times New Roman" w:cs="Times New Roman" w:eastAsia="Times New Roman" w:hAnsi="Times New Roman"/>
          <w:sz w:val="17"/>
          <w:szCs w:val="17"/>
          <w:u w:val="single" w:color="auto"/>
          <w:color w:val="auto"/>
        </w:rPr>
        <w:t>Eligibility; Disqualification</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80" w:firstLine="416"/>
        <w:spacing w:after="0" w:line="264" w:lineRule="auto"/>
        <w:rPr>
          <w:sz w:val="20"/>
          <w:szCs w:val="20"/>
          <w:color w:val="auto"/>
        </w:rPr>
      </w:pPr>
      <w:r>
        <w:rPr>
          <w:rFonts w:ascii="Times New Roman" w:cs="Times New Roman" w:eastAsia="Times New Roman" w:hAnsi="Times New Roman"/>
          <w:sz w:val="17"/>
          <w:szCs w:val="17"/>
          <w:color w:val="auto"/>
        </w:rPr>
        <w:t>This Indenture shall always have a Trustee who satisfies the requirements of TIA § 310(a)(1), (2) and (5). The Trustee shall always have a combined capital and surplus of at least $25,000,000 as set forth in its most recent published annual report of condition. The Trustee shall comply with TIA § 310(b).</w:t>
      </w:r>
    </w:p>
    <w:p>
      <w:pPr>
        <w:spacing w:after="0" w:line="1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7.11 </w:t>
      </w:r>
      <w:r>
        <w:rPr>
          <w:rFonts w:ascii="Times New Roman" w:cs="Times New Roman" w:eastAsia="Times New Roman" w:hAnsi="Times New Roman"/>
          <w:sz w:val="17"/>
          <w:szCs w:val="17"/>
          <w:u w:val="single" w:color="auto"/>
          <w:color w:val="auto"/>
        </w:rPr>
        <w:t>Preferential Collection of Claims Against Company</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160" w:firstLine="416"/>
        <w:spacing w:after="0" w:line="279" w:lineRule="auto"/>
        <w:rPr>
          <w:sz w:val="20"/>
          <w:szCs w:val="20"/>
          <w:color w:val="auto"/>
        </w:rPr>
      </w:pPr>
      <w:r>
        <w:rPr>
          <w:rFonts w:ascii="Times New Roman" w:cs="Times New Roman" w:eastAsia="Times New Roman" w:hAnsi="Times New Roman"/>
          <w:sz w:val="17"/>
          <w:szCs w:val="17"/>
          <w:color w:val="auto"/>
        </w:rPr>
        <w:t>The Trustee is subject to TIA § 311(a), excluding any creditor relationship listed in TIA § 311(b). A Trustee who has resigned or been removed shall be subject to TIA § 311(a) to the extent indicated.</w:t>
      </w:r>
    </w:p>
    <w:p>
      <w:pPr>
        <w:spacing w:after="0" w:line="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0320"/>
          </w:cols>
          <w:pgMar w:left="740" w:top="263" w:right="839" w:bottom="1440" w:gutter="0" w:footer="0" w:header="0"/>
        </w:sectPr>
      </w:pPr>
    </w:p>
    <w:bookmarkStart w:id="152" w:name="page153"/>
    <w:bookmarkEnd w:id="152"/>
    <w:p>
      <w:pPr>
        <w:jc w:val="center"/>
        <w:ind w:right="-13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0">
                      <a:extLst>
                        <a:ext uri="{28A0092B-C50C-407E-A947-70E740481C1C}"/>
                      </a:extLst>
                    </a:blip>
                    <a:srcRect/>
                    <a:stretch>
                      <a:fillRect/>
                    </a:stretch>
                  </pic:blipFill>
                  <pic:spPr bwMode="auto">
                    <a:xfrm>
                      <a:off x="0" y="0"/>
                      <a:ext cx="7181850" cy="36830"/>
                    </a:xfrm>
                    <a:prstGeom prst="rect">
                      <a:avLst/>
                    </a:prstGeom>
                    <a:noFill/>
                  </pic:spPr>
                </pic:pic>
              </a:graphicData>
            </a:graphic>
          </wp:anchor>
        </w:drawing>
        <w:t>ARTICLE VIII.</w:t>
      </w:r>
    </w:p>
    <w:p>
      <w:pPr>
        <w:spacing w:after="0" w:line="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SATISFACTION AND DISCHARGE; DEFEASANCE</w:t>
      </w:r>
    </w:p>
    <w:p>
      <w:pPr>
        <w:spacing w:after="0" w:line="1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8.1 </w:t>
      </w:r>
      <w:r>
        <w:rPr>
          <w:rFonts w:ascii="Times New Roman" w:cs="Times New Roman" w:eastAsia="Times New Roman" w:hAnsi="Times New Roman"/>
          <w:sz w:val="17"/>
          <w:szCs w:val="17"/>
          <w:u w:val="single" w:color="auto"/>
          <w:color w:val="auto"/>
        </w:rPr>
        <w:t>Satisfaction and Discharge of Indenture</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40" w:firstLine="416"/>
        <w:spacing w:after="0" w:line="264" w:lineRule="auto"/>
        <w:rPr>
          <w:sz w:val="20"/>
          <w:szCs w:val="20"/>
          <w:color w:val="auto"/>
        </w:rPr>
      </w:pPr>
      <w:r>
        <w:rPr>
          <w:rFonts w:ascii="Times New Roman" w:cs="Times New Roman" w:eastAsia="Times New Roman" w:hAnsi="Times New Roman"/>
          <w:sz w:val="17"/>
          <w:szCs w:val="17"/>
          <w:color w:val="auto"/>
        </w:rPr>
        <w:t>This Indenture shall upon Company Order be discharged with respect to the Securities of any Series and cease to be of further effect as to all Securities of such Series (except as hereinafter provided in this Section 8.1), and the Trustee, at the expense of the Company, shall execute instruments acknowledging satisfaction and discharge of this Indenture, when</w:t>
      </w:r>
    </w:p>
    <w:p>
      <w:pPr>
        <w:spacing w:after="0" w:line="68" w:lineRule="exact"/>
        <w:rPr>
          <w:sz w:val="20"/>
          <w:szCs w:val="20"/>
          <w:color w:val="auto"/>
        </w:rPr>
      </w:pPr>
    </w:p>
    <w:p>
      <w:pPr>
        <w:ind w:left="1060" w:hanging="237"/>
        <w:spacing w:after="0"/>
        <w:tabs>
          <w:tab w:leader="none" w:pos="106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either</w:t>
      </w:r>
    </w:p>
    <w:p>
      <w:pPr>
        <w:spacing w:after="0" w:line="110" w:lineRule="exact"/>
        <w:rPr>
          <w:rFonts w:ascii="Times New Roman" w:cs="Times New Roman" w:eastAsia="Times New Roman" w:hAnsi="Times New Roman"/>
          <w:sz w:val="17"/>
          <w:szCs w:val="17"/>
          <w:color w:val="auto"/>
        </w:rPr>
      </w:pPr>
    </w:p>
    <w:p>
      <w:pPr>
        <w:ind w:left="940" w:firstLine="382"/>
        <w:spacing w:after="0" w:line="264" w:lineRule="auto"/>
        <w:tabs>
          <w:tab w:leader="none" w:pos="1521" w:val="left"/>
        </w:tabs>
        <w:numPr>
          <w:ilvl w:val="1"/>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Securities of such Series theretofore authenticated and delivered (other than Securities that have been destroyed, lost or stolen and that have been replaced or paid) have been delivered to the Trustee for cancellation; or (ii) all such Securities of such Series not theretofore delivered to the Trustee for cancellation</w:t>
      </w:r>
    </w:p>
    <w:p>
      <w:pPr>
        <w:spacing w:after="0" w:line="68" w:lineRule="exact"/>
        <w:rPr>
          <w:rFonts w:ascii="Times New Roman" w:cs="Times New Roman" w:eastAsia="Times New Roman" w:hAnsi="Times New Roman"/>
          <w:sz w:val="17"/>
          <w:szCs w:val="17"/>
          <w:color w:val="auto"/>
        </w:rPr>
      </w:pPr>
    </w:p>
    <w:p>
      <w:pPr>
        <w:ind w:left="1960" w:hanging="239"/>
        <w:spacing w:after="0"/>
        <w:tabs>
          <w:tab w:leader="none" w:pos="1960" w:val="left"/>
        </w:tabs>
        <w:numPr>
          <w:ilvl w:val="3"/>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become due and payable by reason of sending a notice of redemption or otherwise, or</w:t>
      </w:r>
    </w:p>
    <w:p>
      <w:pPr>
        <w:spacing w:after="0" w:line="110" w:lineRule="exact"/>
        <w:rPr>
          <w:rFonts w:ascii="Times New Roman" w:cs="Times New Roman" w:eastAsia="Times New Roman" w:hAnsi="Times New Roman"/>
          <w:sz w:val="17"/>
          <w:szCs w:val="17"/>
          <w:color w:val="auto"/>
        </w:rPr>
      </w:pPr>
    </w:p>
    <w:p>
      <w:pPr>
        <w:ind w:left="1960" w:hanging="239"/>
        <w:spacing w:after="0"/>
        <w:tabs>
          <w:tab w:leader="none" w:pos="1960" w:val="left"/>
        </w:tabs>
        <w:numPr>
          <w:ilvl w:val="3"/>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will become due and payable at their Stated Maturity within one year, or</w:t>
      </w:r>
    </w:p>
    <w:p>
      <w:pPr>
        <w:spacing w:after="0" w:line="110" w:lineRule="exact"/>
        <w:rPr>
          <w:rFonts w:ascii="Times New Roman" w:cs="Times New Roman" w:eastAsia="Times New Roman" w:hAnsi="Times New Roman"/>
          <w:sz w:val="17"/>
          <w:szCs w:val="17"/>
          <w:color w:val="auto"/>
        </w:rPr>
      </w:pPr>
    </w:p>
    <w:p>
      <w:pPr>
        <w:ind w:left="1360" w:right="80" w:firstLine="361"/>
        <w:spacing w:after="0" w:line="279" w:lineRule="auto"/>
        <w:tabs>
          <w:tab w:leader="none" w:pos="1962" w:val="left"/>
        </w:tabs>
        <w:numPr>
          <w:ilvl w:val="3"/>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been called for redemption or are to be called for redemption within one year under arrangements satisfactory to the Trustee for the giving of notice of redemption by the Trustee in the name, and at the expense, of the Company, or</w:t>
      </w:r>
    </w:p>
    <w:p>
      <w:pPr>
        <w:spacing w:after="0" w:line="54" w:lineRule="exact"/>
        <w:rPr>
          <w:rFonts w:ascii="Times New Roman" w:cs="Times New Roman" w:eastAsia="Times New Roman" w:hAnsi="Times New Roman"/>
          <w:sz w:val="17"/>
          <w:szCs w:val="17"/>
          <w:color w:val="auto"/>
        </w:rPr>
      </w:pPr>
    </w:p>
    <w:p>
      <w:pPr>
        <w:ind w:left="1960" w:hanging="239"/>
        <w:spacing w:after="0"/>
        <w:tabs>
          <w:tab w:leader="none" w:pos="1960" w:val="left"/>
        </w:tabs>
        <w:numPr>
          <w:ilvl w:val="3"/>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are deemed paid and discharged pursuant to Section 8.3, as applicable; and the Company, in the case of (1), (2) or</w:t>
      </w:r>
    </w:p>
    <w:p>
      <w:pPr>
        <w:spacing w:after="0" w:line="23" w:lineRule="exact"/>
        <w:rPr>
          <w:rFonts w:ascii="Times New Roman" w:cs="Times New Roman" w:eastAsia="Times New Roman" w:hAnsi="Times New Roman"/>
          <w:sz w:val="17"/>
          <w:szCs w:val="17"/>
          <w:color w:val="auto"/>
        </w:rPr>
      </w:pPr>
    </w:p>
    <w:p>
      <w:pPr>
        <w:ind w:left="1360" w:hanging="1"/>
        <w:spacing w:after="0" w:line="253" w:lineRule="auto"/>
        <w:tabs>
          <w:tab w:leader="none" w:pos="1600" w:val="left"/>
        </w:tabs>
        <w:numPr>
          <w:ilvl w:val="2"/>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above, shall have irrevocably deposited or caused to be deposited with the Trustee as trust funds in trust an amount of money or U.S. Government Obligations, which amount shall be sufficient for the purpose of paying and discharging each installment of principal (including mandatory sinking fund or analogous payments) of and interest on all the Securities of such Series on the dates such installments of principal or interest are due;</w:t>
      </w:r>
    </w:p>
    <w:p>
      <w:pPr>
        <w:spacing w:after="0" w:line="77" w:lineRule="exact"/>
        <w:rPr>
          <w:rFonts w:ascii="Times New Roman" w:cs="Times New Roman" w:eastAsia="Times New Roman" w:hAnsi="Times New Roman"/>
          <w:sz w:val="17"/>
          <w:szCs w:val="17"/>
          <w:color w:val="auto"/>
        </w:rPr>
      </w:pPr>
    </w:p>
    <w:p>
      <w:pPr>
        <w:ind w:left="1060" w:hanging="237"/>
        <w:spacing w:after="0"/>
        <w:tabs>
          <w:tab w:leader="none" w:pos="106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paid or caused to be paid all other sums payable hereunder by the Company; and</w:t>
      </w:r>
    </w:p>
    <w:p>
      <w:pPr>
        <w:spacing w:after="0" w:line="110" w:lineRule="exact"/>
        <w:rPr>
          <w:rFonts w:ascii="Times New Roman" w:cs="Times New Roman" w:eastAsia="Times New Roman" w:hAnsi="Times New Roman"/>
          <w:sz w:val="17"/>
          <w:szCs w:val="17"/>
          <w:color w:val="auto"/>
        </w:rPr>
      </w:pPr>
    </w:p>
    <w:p>
      <w:pPr>
        <w:ind w:left="420" w:right="320" w:firstLine="403"/>
        <w:spacing w:after="0" w:line="279" w:lineRule="auto"/>
        <w:tabs>
          <w:tab w:leader="none" w:pos="105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delivered to the Trustee an Officer’s Certificate and an Opinion of Counsel, each stating that all conditions precedent provided for relating to the satisfaction and discharge contemplated by this Section have been complied with.</w:t>
      </w:r>
    </w:p>
    <w:p>
      <w:pPr>
        <w:spacing w:after="0" w:line="157" w:lineRule="exact"/>
        <w:rPr>
          <w:sz w:val="20"/>
          <w:szCs w:val="20"/>
          <w:color w:val="auto"/>
        </w:rPr>
      </w:pPr>
    </w:p>
    <w:p>
      <w:pPr>
        <w:ind w:right="60" w:firstLine="416"/>
        <w:spacing w:after="0" w:line="311" w:lineRule="auto"/>
        <w:rPr>
          <w:sz w:val="20"/>
          <w:szCs w:val="20"/>
          <w:color w:val="auto"/>
        </w:rPr>
      </w:pPr>
      <w:r>
        <w:rPr>
          <w:rFonts w:ascii="Times New Roman" w:cs="Times New Roman" w:eastAsia="Times New Roman" w:hAnsi="Times New Roman"/>
          <w:sz w:val="16"/>
          <w:szCs w:val="16"/>
          <w:color w:val="auto"/>
        </w:rPr>
        <w:t>Notwithstanding the satisfaction and discharge of this Indenture, the obligations of the Company to the Trustee under Section 7.7, and, if money shall have been deposited with the Trustee pursuant to clause (a) of this Section, the provisions of Sections 2.4, 2.7, 2.8, 8.2 and 8.5 shall survive.</w:t>
      </w:r>
    </w:p>
    <w:p>
      <w:pPr>
        <w:spacing w:after="0" w:line="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10280"/>
          </w:cols>
          <w:pgMar w:left="740" w:top="263" w:right="879" w:bottom="1440" w:gutter="0" w:footer="0" w:header="0"/>
        </w:sectPr>
      </w:pPr>
    </w:p>
    <w:bookmarkStart w:id="153" w:name="page154"/>
    <w:bookmarkEnd w:id="153"/>
    <w:p>
      <w:pPr>
        <w:ind w:left="4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1">
                      <a:extLst>
                        <a:ext uri="{28A0092B-C50C-407E-A947-70E740481C1C}"/>
                      </a:extLst>
                    </a:blip>
                    <a:srcRect/>
                    <a:stretch>
                      <a:fillRect/>
                    </a:stretch>
                  </pic:blipFill>
                  <pic:spPr bwMode="auto">
                    <a:xfrm>
                      <a:off x="0" y="0"/>
                      <a:ext cx="7181850" cy="36830"/>
                    </a:xfrm>
                    <a:prstGeom prst="rect">
                      <a:avLst/>
                    </a:prstGeom>
                    <a:noFill/>
                  </pic:spPr>
                </pic:pic>
              </a:graphicData>
            </a:graphic>
          </wp:anchor>
        </w:drawing>
        <w:t xml:space="preserve">Section 8.2 </w:t>
      </w:r>
      <w:r>
        <w:rPr>
          <w:rFonts w:ascii="Times New Roman" w:cs="Times New Roman" w:eastAsia="Times New Roman" w:hAnsi="Times New Roman"/>
          <w:sz w:val="17"/>
          <w:szCs w:val="17"/>
          <w:u w:val="single" w:color="auto"/>
          <w:color w:val="auto"/>
        </w:rPr>
        <w:t>Application of Trust Funds; Indemnification</w:t>
      </w:r>
      <w:r>
        <w:rPr>
          <w:rFonts w:ascii="Times New Roman" w:cs="Times New Roman" w:eastAsia="Times New Roman" w:hAnsi="Times New Roman"/>
          <w:sz w:val="17"/>
          <w:szCs w:val="17"/>
          <w:color w:val="auto"/>
        </w:rPr>
        <w:t>.</w:t>
      </w:r>
    </w:p>
    <w:p>
      <w:pPr>
        <w:spacing w:after="0" w:line="110" w:lineRule="exact"/>
        <w:rPr>
          <w:sz w:val="20"/>
          <w:szCs w:val="20"/>
          <w:color w:val="auto"/>
        </w:rPr>
      </w:pPr>
    </w:p>
    <w:p>
      <w:pPr>
        <w:ind w:left="420" w:right="20" w:firstLine="403"/>
        <w:spacing w:after="0" w:line="255" w:lineRule="auto"/>
        <w:tabs>
          <w:tab w:leader="none" w:pos="105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provisions of Section 8.5, all money and U.S. Government Obligations or Foreign Government Obligations deposited with the Trustee pursuant to Section 8.1, 8.3 or 8.4 and all money received by the Trustee in respect of U.S. Government Obligations or Foreign Government Obligations deposited with the Trustee pursuant to Section 8.1,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8.1, 8.3 or 8.4.</w:t>
      </w:r>
    </w:p>
    <w:p>
      <w:pPr>
        <w:spacing w:after="0" w:line="74" w:lineRule="exact"/>
        <w:rPr>
          <w:rFonts w:ascii="Times New Roman" w:cs="Times New Roman" w:eastAsia="Times New Roman" w:hAnsi="Times New Roman"/>
          <w:sz w:val="17"/>
          <w:szCs w:val="17"/>
          <w:color w:val="auto"/>
        </w:rPr>
      </w:pPr>
    </w:p>
    <w:p>
      <w:pPr>
        <w:ind w:left="420" w:firstLine="403"/>
        <w:spacing w:after="0" w:line="264" w:lineRule="auto"/>
        <w:tabs>
          <w:tab w:leader="none" w:pos="1059"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pay and shall indemnify the Trustee against any tax, fee or other charge imposed on or assessed against U.S. Government Obligations or Foreign Government Obligations deposited pursuant to Sections 8.1, 8.3 or 8.4 or the interest and principal received in respect of such obligations other than any payable by or on behalf of Holders.</w:t>
      </w:r>
    </w:p>
    <w:p>
      <w:pPr>
        <w:spacing w:after="0" w:line="68" w:lineRule="exact"/>
        <w:rPr>
          <w:rFonts w:ascii="Times New Roman" w:cs="Times New Roman" w:eastAsia="Times New Roman" w:hAnsi="Times New Roman"/>
          <w:sz w:val="17"/>
          <w:szCs w:val="17"/>
          <w:color w:val="auto"/>
        </w:rPr>
      </w:pPr>
    </w:p>
    <w:p>
      <w:pPr>
        <w:ind w:left="420" w:right="20" w:firstLine="403"/>
        <w:spacing w:after="0" w:line="255" w:lineRule="auto"/>
        <w:tabs>
          <w:tab w:leader="none" w:pos="105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8.3 </w:t>
      </w:r>
      <w:r>
        <w:rPr>
          <w:rFonts w:ascii="Times New Roman" w:cs="Times New Roman" w:eastAsia="Times New Roman" w:hAnsi="Times New Roman"/>
          <w:sz w:val="17"/>
          <w:szCs w:val="17"/>
          <w:u w:val="single" w:color="auto"/>
          <w:color w:val="auto"/>
        </w:rPr>
        <w:t>Legal Defeasance of Securities of any Series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firstLine="416"/>
        <w:spacing w:after="0" w:line="281" w:lineRule="auto"/>
        <w:rPr>
          <w:sz w:val="20"/>
          <w:szCs w:val="20"/>
          <w:color w:val="auto"/>
        </w:rPr>
      </w:pPr>
      <w:r>
        <w:rPr>
          <w:rFonts w:ascii="Times New Roman" w:cs="Times New Roman" w:eastAsia="Times New Roman" w:hAnsi="Times New Roman"/>
          <w:sz w:val="16"/>
          <w:szCs w:val="16"/>
          <w:color w:val="auto"/>
        </w:rPr>
        <w:t>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upon receipt of a Company Order, execute instruments acknowledging the same), except as to:</w:t>
      </w:r>
    </w:p>
    <w:p>
      <w:pPr>
        <w:spacing w:after="0" w:line="55" w:lineRule="exact"/>
        <w:rPr>
          <w:sz w:val="20"/>
          <w:szCs w:val="20"/>
          <w:color w:val="auto"/>
        </w:rPr>
      </w:pPr>
    </w:p>
    <w:p>
      <w:pPr>
        <w:ind w:left="420" w:right="60" w:firstLine="403"/>
        <w:spacing w:after="0" w:line="259" w:lineRule="auto"/>
        <w:tabs>
          <w:tab w:leader="none" w:pos="105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of Holders of Securities of such Series to receive, from the trust funds described in subparagraph (d)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0380"/>
          </w:cols>
          <w:pgMar w:left="740" w:top="263" w:right="779" w:bottom="1440" w:gutter="0" w:footer="0" w:header="0"/>
        </w:sectPr>
      </w:pPr>
    </w:p>
    <w:bookmarkStart w:id="154" w:name="page155"/>
    <w:bookmarkEnd w:id="154"/>
    <w:p>
      <w:pPr>
        <w:ind w:left="640" w:hanging="237"/>
        <w:spacing w:after="0"/>
        <w:tabs>
          <w:tab w:leader="none" w:pos="64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2">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the provisions of Sections 2.4, 2.5, 2.7, 2.8, 7.7, 8.2, 8.3, 8.5 and 8.6; and</w:t>
      </w:r>
    </w:p>
    <w:p>
      <w:pPr>
        <w:spacing w:after="0" w:line="110" w:lineRule="exact"/>
        <w:rPr>
          <w:rFonts w:ascii="Times New Roman" w:cs="Times New Roman" w:eastAsia="Times New Roman" w:hAnsi="Times New Roman"/>
          <w:sz w:val="17"/>
          <w:szCs w:val="17"/>
          <w:color w:val="auto"/>
        </w:rPr>
      </w:pPr>
    </w:p>
    <w:p>
      <w:pPr>
        <w:ind w:right="60" w:firstLine="403"/>
        <w:spacing w:after="0" w:line="279" w:lineRule="auto"/>
        <w:tabs>
          <w:tab w:leader="none" w:pos="63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powers, trusts and immunities of the Trustee hereunder and the Company’s obligations in connection therewith; provided that, the following conditions shall have been satisfied:</w:t>
      </w:r>
    </w:p>
    <w:p>
      <w:pPr>
        <w:spacing w:after="0" w:line="54" w:lineRule="exact"/>
        <w:rPr>
          <w:rFonts w:ascii="Times New Roman" w:cs="Times New Roman" w:eastAsia="Times New Roman" w:hAnsi="Times New Roman"/>
          <w:sz w:val="17"/>
          <w:szCs w:val="17"/>
          <w:color w:val="auto"/>
        </w:rPr>
      </w:pPr>
    </w:p>
    <w:p>
      <w:pPr>
        <w:ind w:right="40" w:firstLine="403"/>
        <w:spacing w:after="0" w:line="253" w:lineRule="auto"/>
        <w:tabs>
          <w:tab w:leader="none" w:pos="639"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irrevocably deposited or caused to be deposited (except as provided in Section 8.2(c)) with the Trustee as trust funds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on and any mandatory sinking fund payments in respect of all the Securities of such Series on the dates such installments of principal or interest and such sinking fund payments are due;</w:t>
      </w:r>
    </w:p>
    <w:p>
      <w:pPr>
        <w:spacing w:after="0" w:line="80" w:lineRule="exact"/>
        <w:rPr>
          <w:rFonts w:ascii="Times New Roman" w:cs="Times New Roman" w:eastAsia="Times New Roman" w:hAnsi="Times New Roman"/>
          <w:sz w:val="17"/>
          <w:szCs w:val="17"/>
          <w:color w:val="auto"/>
        </w:rPr>
      </w:pPr>
    </w:p>
    <w:p>
      <w:pPr>
        <w:ind w:right="140" w:firstLine="403"/>
        <w:spacing w:after="0" w:line="279" w:lineRule="auto"/>
        <w:tabs>
          <w:tab w:leader="none" w:pos="63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deposit will not result in a breach or violation of, or constitute a default under, this Indenture or any other agreement or instrument to which the Company is a party or by which it is bound;</w:t>
      </w:r>
    </w:p>
    <w:p>
      <w:pPr>
        <w:spacing w:after="0" w:line="54" w:lineRule="exact"/>
        <w:rPr>
          <w:rFonts w:ascii="Times New Roman" w:cs="Times New Roman" w:eastAsia="Times New Roman" w:hAnsi="Times New Roman"/>
          <w:sz w:val="17"/>
          <w:szCs w:val="17"/>
          <w:color w:val="auto"/>
        </w:rPr>
      </w:pPr>
    </w:p>
    <w:p>
      <w:pPr>
        <w:ind w:right="340" w:firstLine="403"/>
        <w:spacing w:after="0" w:line="279" w:lineRule="auto"/>
        <w:tabs>
          <w:tab w:leader="none" w:pos="611"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Default or Event of Default with respect to the Securities of such Series shall have occurred and be continuing on the date of such deposit or during the period ending on the 91st day after such date;</w:t>
      </w:r>
    </w:p>
    <w:p>
      <w:pPr>
        <w:spacing w:after="0" w:line="54" w:lineRule="exact"/>
        <w:rPr>
          <w:rFonts w:ascii="Times New Roman" w:cs="Times New Roman" w:eastAsia="Times New Roman" w:hAnsi="Times New Roman"/>
          <w:sz w:val="17"/>
          <w:szCs w:val="17"/>
          <w:color w:val="auto"/>
        </w:rPr>
      </w:pPr>
    </w:p>
    <w:p>
      <w:pPr>
        <w:ind w:firstLine="403"/>
        <w:spacing w:after="0" w:line="255" w:lineRule="auto"/>
        <w:tabs>
          <w:tab w:leader="none" w:pos="639"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33</w:t>
      </w:r>
    </w:p>
    <w:p>
      <w:pPr>
        <w:sectPr>
          <w:pgSz w:w="11900" w:h="16838" w:orient="portrait"/>
          <w:cols w:equalWidth="0" w:num="1">
            <w:col w:w="9980"/>
          </w:cols>
          <w:pgMar w:left="1160" w:top="263" w:right="759" w:bottom="1440" w:gutter="0" w:footer="0" w:header="0"/>
        </w:sectPr>
      </w:pPr>
    </w:p>
    <w:bookmarkStart w:id="155" w:name="page156"/>
    <w:bookmarkEnd w:id="155"/>
    <w:p>
      <w:pPr>
        <w:ind w:left="420" w:right="140" w:firstLine="403"/>
        <w:spacing w:after="0" w:line="279" w:lineRule="auto"/>
        <w:tabs>
          <w:tab w:leader="none" w:pos="1059"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3">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the Company shall have delivered to the Trustee an Officer’s Certificate stating that the deposit was not made by the Company with the intent of defeating, hindering, delaying or defrauding any other creditors of the Company; and</w:t>
      </w:r>
    </w:p>
    <w:p>
      <w:pPr>
        <w:spacing w:after="0" w:line="54" w:lineRule="exact"/>
        <w:rPr>
          <w:rFonts w:ascii="Times New Roman" w:cs="Times New Roman" w:eastAsia="Times New Roman" w:hAnsi="Times New Roman"/>
          <w:sz w:val="17"/>
          <w:szCs w:val="17"/>
          <w:color w:val="auto"/>
        </w:rPr>
      </w:pPr>
    </w:p>
    <w:p>
      <w:pPr>
        <w:ind w:left="420" w:right="460" w:firstLine="403"/>
        <w:spacing w:after="0" w:line="279" w:lineRule="auto"/>
        <w:tabs>
          <w:tab w:leader="none" w:pos="1021"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delivered to the Trustee an Officer’s Certificate and an Opinion of Counsel, each stating that all conditions precedent provided for relating to the defeasance contemplated by this Section have been complied with.</w:t>
      </w:r>
    </w:p>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8.4 </w:t>
      </w:r>
      <w:r>
        <w:rPr>
          <w:rFonts w:ascii="Times New Roman" w:cs="Times New Roman" w:eastAsia="Times New Roman" w:hAnsi="Times New Roman"/>
          <w:sz w:val="17"/>
          <w:szCs w:val="17"/>
          <w:u w:val="single" w:color="auto"/>
          <w:color w:val="auto"/>
        </w:rPr>
        <w:t>Covenant Defeasance</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7"/>
          <w:szCs w:val="17"/>
          <w:color w:val="auto"/>
        </w:rPr>
        <w:t>Unless this Section 8.4 is otherwise specified pursuant to Section 2.2 to be inapplicable to Securities of any Series, the Company may omit to comply with respect to the Securities of any Series with any term, provision or condition set forth under Sections 4.2, 4.3, 4.4 and 5.1 and, unless otherwise specified therein,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 and designated as an Event of Default shall not constitute a Default or Event of Default hereunder, with respect to the Securities of such Series, but, except as specified above, the remainder of this Indenture and such Securities will be unaffected thereby; provided that the following conditions shall have been satisfied:</w:t>
      </w:r>
    </w:p>
    <w:p>
      <w:pPr>
        <w:spacing w:after="0" w:line="77" w:lineRule="exact"/>
        <w:rPr>
          <w:sz w:val="20"/>
          <w:szCs w:val="20"/>
          <w:color w:val="auto"/>
        </w:rPr>
      </w:pPr>
    </w:p>
    <w:p>
      <w:pPr>
        <w:ind w:left="420" w:right="40" w:firstLine="403"/>
        <w:spacing w:after="0" w:line="253" w:lineRule="auto"/>
        <w:tabs>
          <w:tab w:leader="none" w:pos="105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reference to this Section 8.4, the Company has irrevocably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(including mandatory sinking fund or analogous payments) of and interest on all the Securities of such Series on the dates such installments of principal or interest are due;</w:t>
      </w:r>
    </w:p>
    <w:p>
      <w:pPr>
        <w:spacing w:after="0" w:line="78" w:lineRule="exact"/>
        <w:rPr>
          <w:rFonts w:ascii="Times New Roman" w:cs="Times New Roman" w:eastAsia="Times New Roman" w:hAnsi="Times New Roman"/>
          <w:sz w:val="17"/>
          <w:szCs w:val="17"/>
          <w:color w:val="auto"/>
        </w:rPr>
      </w:pPr>
    </w:p>
    <w:p>
      <w:pPr>
        <w:ind w:left="420" w:right="140" w:firstLine="403"/>
        <w:spacing w:after="0" w:line="279" w:lineRule="auto"/>
        <w:tabs>
          <w:tab w:leader="none" w:pos="1059"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deposit will not result in a breach or violation of, or constitute a default under, this Indenture or any other agreement or instrument to which the Company is a party or by which it is bound;</w:t>
      </w:r>
    </w:p>
    <w:p>
      <w:pPr>
        <w:spacing w:after="0" w:line="54" w:lineRule="exact"/>
        <w:rPr>
          <w:rFonts w:ascii="Times New Roman" w:cs="Times New Roman" w:eastAsia="Times New Roman" w:hAnsi="Times New Roman"/>
          <w:sz w:val="17"/>
          <w:szCs w:val="17"/>
          <w:color w:val="auto"/>
        </w:rPr>
      </w:pPr>
    </w:p>
    <w:p>
      <w:pPr>
        <w:ind w:left="1060" w:hanging="237"/>
        <w:spacing w:after="0"/>
        <w:tabs>
          <w:tab w:leader="none" w:pos="106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Default or Event of Default with respect to the Securities of such Series shall have occurred and be continuing on the date of such</w:t>
      </w:r>
    </w:p>
    <w:p>
      <w:pPr>
        <w:spacing w:after="0" w:line="23" w:lineRule="exact"/>
        <w:rPr>
          <w:rFonts w:ascii="Times New Roman" w:cs="Times New Roman" w:eastAsia="Times New Roman" w:hAnsi="Times New Roman"/>
          <w:sz w:val="17"/>
          <w:szCs w:val="17"/>
          <w:color w:val="auto"/>
        </w:rPr>
      </w:pPr>
    </w:p>
    <w:p>
      <w:pPr>
        <w:ind w:left="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deposit;</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ectPr>
          <w:pgSz w:w="11900" w:h="16838" w:orient="portrait"/>
          <w:cols w:equalWidth="0" w:num="1">
            <w:col w:w="10400"/>
          </w:cols>
          <w:pgMar w:left="740" w:top="263" w:right="759" w:bottom="1440" w:gutter="0" w:footer="0" w:header="0"/>
        </w:sectPr>
      </w:pPr>
    </w:p>
    <w:bookmarkStart w:id="156" w:name="page157"/>
    <w:bookmarkEnd w:id="156"/>
    <w:p>
      <w:pPr>
        <w:ind w:left="420" w:right="60" w:firstLine="403"/>
        <w:spacing w:after="0" w:line="259" w:lineRule="auto"/>
        <w:tabs>
          <w:tab w:leader="none" w:pos="1059"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4">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the Company shall have delivered to the Trustee an Officers’ Certificate and an Opinion of Counsel to the effect that the Holders of the Securities of such Series will not recognize income, gain or loss for Federal income tax purposes as a result of such deposit and covenant defeasance and will be subject to Federal income tax on the same amount and in the same manner and at the same times as would have been the case if such deposit and covenant defeasance had not occurred;</w:t>
      </w:r>
    </w:p>
    <w:p>
      <w:pPr>
        <w:spacing w:after="0" w:line="73" w:lineRule="exact"/>
        <w:rPr>
          <w:rFonts w:ascii="Times New Roman" w:cs="Times New Roman" w:eastAsia="Times New Roman" w:hAnsi="Times New Roman"/>
          <w:sz w:val="17"/>
          <w:szCs w:val="17"/>
          <w:color w:val="auto"/>
        </w:rPr>
      </w:pPr>
    </w:p>
    <w:p>
      <w:pPr>
        <w:ind w:left="420" w:right="260" w:firstLine="403"/>
        <w:spacing w:after="0" w:line="279" w:lineRule="auto"/>
        <w:tabs>
          <w:tab w:leader="none" w:pos="105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delivered to the Trustee an Officer’s Certificate stating the deposit was not made by the Company with the intent of defeating, hindering, delaying or defrauding any other creditors of the Company; and</w:t>
      </w:r>
    </w:p>
    <w:p>
      <w:pPr>
        <w:spacing w:after="0" w:line="54" w:lineRule="exact"/>
        <w:rPr>
          <w:rFonts w:ascii="Times New Roman" w:cs="Times New Roman" w:eastAsia="Times New Roman" w:hAnsi="Times New Roman"/>
          <w:sz w:val="17"/>
          <w:szCs w:val="17"/>
          <w:color w:val="auto"/>
        </w:rPr>
      </w:pPr>
    </w:p>
    <w:p>
      <w:pPr>
        <w:ind w:left="420" w:right="280" w:firstLine="403"/>
        <w:spacing w:after="0" w:line="279" w:lineRule="auto"/>
        <w:tabs>
          <w:tab w:leader="none" w:pos="1031"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8.5 </w:t>
      </w:r>
      <w:r>
        <w:rPr>
          <w:rFonts w:ascii="Times New Roman" w:cs="Times New Roman" w:eastAsia="Times New Roman" w:hAnsi="Times New Roman"/>
          <w:sz w:val="17"/>
          <w:szCs w:val="17"/>
          <w:u w:val="single" w:color="auto"/>
          <w:color w:val="auto"/>
        </w:rPr>
        <w:t>Repayment to Company</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firstLine="416"/>
        <w:spacing w:after="0" w:line="264" w:lineRule="auto"/>
        <w:rPr>
          <w:sz w:val="20"/>
          <w:szCs w:val="20"/>
          <w:color w:val="auto"/>
        </w:rPr>
      </w:pPr>
      <w:r>
        <w:rPr>
          <w:rFonts w:ascii="Times New Roman" w:cs="Times New Roman" w:eastAsia="Times New Roman" w:hAnsi="Times New Roman"/>
          <w:sz w:val="17"/>
          <w:szCs w:val="17"/>
          <w:color w:val="auto"/>
        </w:rPr>
        <w:t>Subject to applicable abandoned property law, the Trustee and the Paying Agent shall pay to the Company upon request any money held by them for the payment of principal and interest that remains unclaimed for two years. After that, Securityholders entitled to the money must look to the Company for payment as general creditors unless an applicable abandoned property law designates another person.</w:t>
      </w:r>
    </w:p>
    <w:p>
      <w:pPr>
        <w:spacing w:after="0" w:line="1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8.6 </w:t>
      </w:r>
      <w:r>
        <w:rPr>
          <w:rFonts w:ascii="Times New Roman" w:cs="Times New Roman" w:eastAsia="Times New Roman" w:hAnsi="Times New Roman"/>
          <w:sz w:val="17"/>
          <w:szCs w:val="17"/>
          <w:u w:val="single" w:color="auto"/>
          <w:color w:val="auto"/>
        </w:rPr>
        <w:t>Reinstatement</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7"/>
          <w:szCs w:val="17"/>
          <w:color w:val="auto"/>
        </w:rPr>
        <w:t xml:space="preserve">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the Company has made any payment of principal of or interest on [or any Additional Amounts with respect to]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w:t>
      </w:r>
    </w:p>
    <w:p>
      <w:pPr>
        <w:spacing w:after="0" w:line="1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ARTICLE IX.</w:t>
      </w:r>
    </w:p>
    <w:p>
      <w:pPr>
        <w:spacing w:after="0" w:line="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AMENDMENTS AND WAIVERS</w:t>
      </w:r>
    </w:p>
    <w:p>
      <w:pPr>
        <w:spacing w:after="0" w:line="1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9.1 </w:t>
      </w:r>
      <w:r>
        <w:rPr>
          <w:rFonts w:ascii="Times New Roman" w:cs="Times New Roman" w:eastAsia="Times New Roman" w:hAnsi="Times New Roman"/>
          <w:sz w:val="17"/>
          <w:szCs w:val="17"/>
          <w:u w:val="single" w:color="auto"/>
          <w:color w:val="auto"/>
        </w:rPr>
        <w:t>Without Consent of Holders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Company and the Trustee may amend or supplement this Indenture or the Securities of one or more Series without the consent of any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Securityholder:</w:t>
      </w:r>
    </w:p>
    <w:p>
      <w:pPr>
        <w:spacing w:after="0" w:line="9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(a) to cure any ambiguity, defect or inconsistency;</w:t>
      </w:r>
    </w:p>
    <w:p>
      <w:pPr>
        <w:spacing w:after="0" w:line="14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35</w:t>
      </w:r>
    </w:p>
    <w:p>
      <w:pPr>
        <w:sectPr>
          <w:pgSz w:w="11900" w:h="16838" w:orient="portrait"/>
          <w:cols w:equalWidth="0" w:num="1">
            <w:col w:w="10280"/>
          </w:cols>
          <w:pgMar w:left="740" w:top="263" w:right="879" w:bottom="1440" w:gutter="0" w:footer="0" w:header="0"/>
        </w:sectPr>
      </w:pPr>
    </w:p>
    <w:bookmarkStart w:id="157" w:name="page158"/>
    <w:bookmarkEnd w:id="157"/>
    <w:p>
      <w:pPr>
        <w:ind w:left="1060" w:hanging="237"/>
        <w:spacing w:after="0"/>
        <w:tabs>
          <w:tab w:leader="none" w:pos="106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5">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to comply with Article V;</w:t>
      </w:r>
    </w:p>
    <w:p>
      <w:pPr>
        <w:spacing w:after="0" w:line="110" w:lineRule="exact"/>
        <w:rPr>
          <w:rFonts w:ascii="Times New Roman" w:cs="Times New Roman" w:eastAsia="Times New Roman" w:hAnsi="Times New Roman"/>
          <w:sz w:val="17"/>
          <w:szCs w:val="17"/>
          <w:color w:val="auto"/>
        </w:rPr>
      </w:pPr>
    </w:p>
    <w:p>
      <w:pPr>
        <w:ind w:left="1060" w:hanging="237"/>
        <w:spacing w:after="0"/>
        <w:tabs>
          <w:tab w:leader="none" w:pos="106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for uncertificated Securities in addition to or in place of certificated Securities;</w:t>
      </w:r>
    </w:p>
    <w:p>
      <w:pPr>
        <w:spacing w:after="0" w:line="110" w:lineRule="exact"/>
        <w:rPr>
          <w:rFonts w:ascii="Times New Roman" w:cs="Times New Roman" w:eastAsia="Times New Roman" w:hAnsi="Times New Roman"/>
          <w:sz w:val="17"/>
          <w:szCs w:val="17"/>
          <w:color w:val="auto"/>
        </w:rPr>
      </w:pPr>
    </w:p>
    <w:p>
      <w:pPr>
        <w:ind w:left="1060" w:hanging="237"/>
        <w:spacing w:after="0"/>
        <w:tabs>
          <w:tab w:leader="none" w:pos="106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guarantees with respect to Securities of any Series or secure Securities of any Series;</w:t>
      </w:r>
    </w:p>
    <w:p>
      <w:pPr>
        <w:spacing w:after="0" w:line="110" w:lineRule="exact"/>
        <w:rPr>
          <w:rFonts w:ascii="Times New Roman" w:cs="Times New Roman" w:eastAsia="Times New Roman" w:hAnsi="Times New Roman"/>
          <w:sz w:val="17"/>
          <w:szCs w:val="17"/>
          <w:color w:val="auto"/>
        </w:rPr>
      </w:pPr>
    </w:p>
    <w:p>
      <w:pPr>
        <w:ind w:left="1060" w:hanging="237"/>
        <w:spacing w:after="0"/>
        <w:tabs>
          <w:tab w:leader="none" w:pos="106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surrender any of the Company’s rights or powers under this Indenture;</w:t>
      </w:r>
    </w:p>
    <w:p>
      <w:pPr>
        <w:spacing w:after="0" w:line="110" w:lineRule="exact"/>
        <w:rPr>
          <w:rFonts w:ascii="Times New Roman" w:cs="Times New Roman" w:eastAsia="Times New Roman" w:hAnsi="Times New Roman"/>
          <w:sz w:val="17"/>
          <w:szCs w:val="17"/>
          <w:color w:val="auto"/>
        </w:rPr>
      </w:pPr>
    </w:p>
    <w:p>
      <w:pPr>
        <w:ind w:left="1040" w:hanging="217"/>
        <w:spacing w:after="0"/>
        <w:tabs>
          <w:tab w:leader="none" w:pos="104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covenants or events of default for the benefit of the holders of Securities of any Series;</w:t>
      </w:r>
    </w:p>
    <w:p>
      <w:pPr>
        <w:spacing w:after="0" w:line="110" w:lineRule="exact"/>
        <w:rPr>
          <w:rFonts w:ascii="Times New Roman" w:cs="Times New Roman" w:eastAsia="Times New Roman" w:hAnsi="Times New Roman"/>
          <w:sz w:val="17"/>
          <w:szCs w:val="17"/>
          <w:color w:val="auto"/>
        </w:rPr>
      </w:pPr>
    </w:p>
    <w:p>
      <w:pPr>
        <w:ind w:left="1060" w:hanging="237"/>
        <w:spacing w:after="0"/>
        <w:tabs>
          <w:tab w:leader="none" w:pos="106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comply with the applicable procedures of the applicable depositary;</w:t>
      </w:r>
    </w:p>
    <w:p>
      <w:pPr>
        <w:spacing w:after="0" w:line="110" w:lineRule="exact"/>
        <w:rPr>
          <w:rFonts w:ascii="Times New Roman" w:cs="Times New Roman" w:eastAsia="Times New Roman" w:hAnsi="Times New Roman"/>
          <w:sz w:val="17"/>
          <w:szCs w:val="17"/>
          <w:color w:val="auto"/>
        </w:rPr>
      </w:pPr>
    </w:p>
    <w:p>
      <w:pPr>
        <w:ind w:left="1060" w:hanging="237"/>
        <w:spacing w:after="0"/>
        <w:tabs>
          <w:tab w:leader="none" w:pos="106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any change that does not adversely affect the rights of any Securityholder;</w:t>
      </w:r>
    </w:p>
    <w:p>
      <w:pPr>
        <w:spacing w:after="0" w:line="110" w:lineRule="exact"/>
        <w:rPr>
          <w:rFonts w:ascii="Times New Roman" w:cs="Times New Roman" w:eastAsia="Times New Roman" w:hAnsi="Times New Roman"/>
          <w:sz w:val="17"/>
          <w:szCs w:val="17"/>
          <w:color w:val="auto"/>
        </w:rPr>
      </w:pPr>
    </w:p>
    <w:p>
      <w:pPr>
        <w:ind w:left="1020" w:hanging="197"/>
        <w:spacing w:after="0"/>
        <w:tabs>
          <w:tab w:leader="none" w:pos="102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for the issuance of and establish the form and terms and conditions of Securities of any Series as permitted by this Indenture;</w:t>
      </w:r>
    </w:p>
    <w:p>
      <w:pPr>
        <w:spacing w:after="0" w:line="110" w:lineRule="exact"/>
        <w:rPr>
          <w:rFonts w:ascii="Times New Roman" w:cs="Times New Roman" w:eastAsia="Times New Roman" w:hAnsi="Times New Roman"/>
          <w:sz w:val="17"/>
          <w:szCs w:val="17"/>
          <w:color w:val="auto"/>
        </w:rPr>
      </w:pPr>
    </w:p>
    <w:p>
      <w:pPr>
        <w:ind w:left="420" w:firstLine="403"/>
        <w:spacing w:after="0" w:line="264" w:lineRule="auto"/>
        <w:tabs>
          <w:tab w:leader="none" w:pos="1021"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68" w:lineRule="exact"/>
        <w:rPr>
          <w:rFonts w:ascii="Times New Roman" w:cs="Times New Roman" w:eastAsia="Times New Roman" w:hAnsi="Times New Roman"/>
          <w:sz w:val="17"/>
          <w:szCs w:val="17"/>
          <w:color w:val="auto"/>
        </w:rPr>
      </w:pPr>
    </w:p>
    <w:p>
      <w:pPr>
        <w:ind w:left="1060" w:hanging="237"/>
        <w:spacing w:after="0"/>
        <w:tabs>
          <w:tab w:leader="none" w:pos="106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comply with requirements of the SEC in order to effect or maintain the qualification of this Indenture under the TIA.</w:t>
      </w: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9.2 </w:t>
      </w:r>
      <w:r>
        <w:rPr>
          <w:rFonts w:ascii="Times New Roman" w:cs="Times New Roman" w:eastAsia="Times New Roman" w:hAnsi="Times New Roman"/>
          <w:sz w:val="17"/>
          <w:szCs w:val="17"/>
          <w:u w:val="single" w:color="auto"/>
          <w:color w:val="auto"/>
        </w:rPr>
        <w:t>With Consent of Holders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20" w:firstLine="416"/>
        <w:spacing w:after="0" w:line="255" w:lineRule="auto"/>
        <w:rPr>
          <w:sz w:val="20"/>
          <w:szCs w:val="20"/>
          <w:color w:val="auto"/>
        </w:rPr>
      </w:pPr>
      <w:r>
        <w:rPr>
          <w:rFonts w:ascii="Times New Roman" w:cs="Times New Roman" w:eastAsia="Times New Roman" w:hAnsi="Times New Roman"/>
          <w:sz w:val="17"/>
          <w:szCs w:val="17"/>
          <w:color w:val="auto"/>
        </w:rPr>
        <w:t>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Section 6.13,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76" w:lineRule="exact"/>
        <w:rPr>
          <w:sz w:val="20"/>
          <w:szCs w:val="20"/>
          <w:color w:val="auto"/>
        </w:rPr>
      </w:pPr>
    </w:p>
    <w:p>
      <w:pPr>
        <w:ind w:right="60" w:firstLine="416"/>
        <w:spacing w:after="0" w:line="257" w:lineRule="auto"/>
        <w:rPr>
          <w:sz w:val="20"/>
          <w:szCs w:val="20"/>
          <w:color w:val="auto"/>
        </w:rPr>
      </w:pPr>
      <w:r>
        <w:rPr>
          <w:rFonts w:ascii="Times New Roman" w:cs="Times New Roman" w:eastAsia="Times New Roman" w:hAnsi="Times New Roman"/>
          <w:sz w:val="17"/>
          <w:szCs w:val="17"/>
          <w:color w:val="auto"/>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send to the Holders of Securities affected thereby, a notice briefly describing the supplemental indenture or waiver. Any failure by the Company to send such notice, or any defect therein, shall not, however, in any way impair or affect the validity of any such supplemental indenture or waiver.</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36</w:t>
      </w:r>
    </w:p>
    <w:p>
      <w:pPr>
        <w:sectPr>
          <w:pgSz w:w="11900" w:h="16838" w:orient="portrait"/>
          <w:cols w:equalWidth="0" w:num="1">
            <w:col w:w="10340"/>
          </w:cols>
          <w:pgMar w:left="740" w:top="263" w:right="819" w:bottom="1440" w:gutter="0" w:footer="0" w:header="0"/>
        </w:sectPr>
      </w:pPr>
    </w:p>
    <w:bookmarkStart w:id="158" w:name="page159"/>
    <w:bookmarkEnd w:id="158"/>
    <w:p>
      <w:pPr>
        <w:ind w:left="4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6">
                      <a:extLst>
                        <a:ext uri="{28A0092B-C50C-407E-A947-70E740481C1C}"/>
                      </a:extLst>
                    </a:blip>
                    <a:srcRect/>
                    <a:stretch>
                      <a:fillRect/>
                    </a:stretch>
                  </pic:blipFill>
                  <pic:spPr bwMode="auto">
                    <a:xfrm>
                      <a:off x="0" y="0"/>
                      <a:ext cx="7181850" cy="36830"/>
                    </a:xfrm>
                    <a:prstGeom prst="rect">
                      <a:avLst/>
                    </a:prstGeom>
                    <a:noFill/>
                  </pic:spPr>
                </pic:pic>
              </a:graphicData>
            </a:graphic>
          </wp:anchor>
        </w:drawing>
        <w:t xml:space="preserve">Section 9.3 </w:t>
      </w:r>
      <w:r>
        <w:rPr>
          <w:rFonts w:ascii="Times New Roman" w:cs="Times New Roman" w:eastAsia="Times New Roman" w:hAnsi="Times New Roman"/>
          <w:sz w:val="17"/>
          <w:szCs w:val="17"/>
          <w:u w:val="single" w:color="auto"/>
          <w:color w:val="auto"/>
        </w:rPr>
        <w:t>Limitations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Without the consent of each Securityholder affected, an amendment or waiver may not:</w:t>
      </w:r>
    </w:p>
    <w:p>
      <w:pPr>
        <w:spacing w:after="0" w:line="110" w:lineRule="exact"/>
        <w:rPr>
          <w:sz w:val="20"/>
          <w:szCs w:val="20"/>
          <w:color w:val="auto"/>
        </w:rPr>
      </w:pPr>
    </w:p>
    <w:p>
      <w:pPr>
        <w:ind w:left="1060" w:hanging="237"/>
        <w:spacing w:after="0"/>
        <w:tabs>
          <w:tab w:leader="none" w:pos="106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principal amount of Securities whose Holders must consent to an amendment, supplement or waiver;</w:t>
      </w:r>
    </w:p>
    <w:p>
      <w:pPr>
        <w:spacing w:after="0" w:line="110" w:lineRule="exact"/>
        <w:rPr>
          <w:rFonts w:ascii="Times New Roman" w:cs="Times New Roman" w:eastAsia="Times New Roman" w:hAnsi="Times New Roman"/>
          <w:sz w:val="17"/>
          <w:szCs w:val="17"/>
          <w:color w:val="auto"/>
        </w:rPr>
      </w:pPr>
    </w:p>
    <w:p>
      <w:pPr>
        <w:ind w:left="1060" w:hanging="237"/>
        <w:spacing w:after="0"/>
        <w:tabs>
          <w:tab w:leader="none" w:pos="106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rate of or extend the time for payment of interest (including default interest) on any Security;</w:t>
      </w:r>
    </w:p>
    <w:p>
      <w:pPr>
        <w:spacing w:after="0" w:line="110" w:lineRule="exact"/>
        <w:rPr>
          <w:rFonts w:ascii="Times New Roman" w:cs="Times New Roman" w:eastAsia="Times New Roman" w:hAnsi="Times New Roman"/>
          <w:sz w:val="17"/>
          <w:szCs w:val="17"/>
          <w:color w:val="auto"/>
        </w:rPr>
      </w:pPr>
    </w:p>
    <w:p>
      <w:pPr>
        <w:ind w:left="420" w:right="20" w:firstLine="403"/>
        <w:spacing w:after="0" w:line="279" w:lineRule="auto"/>
        <w:tabs>
          <w:tab w:leader="none" w:pos="105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principal or change the Stated Maturity of any Security or reduce the amount of, or postpone the date fixed for, the payment of any sinking fund or analogous obligation;</w:t>
      </w:r>
    </w:p>
    <w:p>
      <w:pPr>
        <w:spacing w:after="0" w:line="54" w:lineRule="exact"/>
        <w:rPr>
          <w:rFonts w:ascii="Times New Roman" w:cs="Times New Roman" w:eastAsia="Times New Roman" w:hAnsi="Times New Roman"/>
          <w:sz w:val="17"/>
          <w:szCs w:val="17"/>
          <w:color w:val="auto"/>
        </w:rPr>
      </w:pPr>
    </w:p>
    <w:p>
      <w:pPr>
        <w:ind w:left="1060" w:hanging="237"/>
        <w:spacing w:after="0"/>
        <w:tabs>
          <w:tab w:leader="none" w:pos="106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principal amount of Discount Securities payable upon acceleration of the maturity thereof;</w:t>
      </w:r>
    </w:p>
    <w:p>
      <w:pPr>
        <w:spacing w:after="0" w:line="110" w:lineRule="exact"/>
        <w:rPr>
          <w:rFonts w:ascii="Times New Roman" w:cs="Times New Roman" w:eastAsia="Times New Roman" w:hAnsi="Times New Roman"/>
          <w:sz w:val="17"/>
          <w:szCs w:val="17"/>
          <w:color w:val="auto"/>
        </w:rPr>
      </w:pPr>
    </w:p>
    <w:p>
      <w:pPr>
        <w:ind w:left="420" w:right="260" w:firstLine="403"/>
        <w:spacing w:after="0" w:line="264" w:lineRule="auto"/>
        <w:tabs>
          <w:tab w:leader="none" w:pos="105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68" w:lineRule="exact"/>
        <w:rPr>
          <w:rFonts w:ascii="Times New Roman" w:cs="Times New Roman" w:eastAsia="Times New Roman" w:hAnsi="Times New Roman"/>
          <w:sz w:val="17"/>
          <w:szCs w:val="17"/>
          <w:color w:val="auto"/>
        </w:rPr>
      </w:pPr>
    </w:p>
    <w:p>
      <w:pPr>
        <w:ind w:left="1040" w:hanging="217"/>
        <w:spacing w:after="0"/>
        <w:tabs>
          <w:tab w:leader="none" w:pos="104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the principal of or interest, if any, on any Security payable in any currency other than that stated in the Security;</w:t>
      </w:r>
    </w:p>
    <w:p>
      <w:pPr>
        <w:spacing w:after="0" w:line="110" w:lineRule="exact"/>
        <w:rPr>
          <w:rFonts w:ascii="Times New Roman" w:cs="Times New Roman" w:eastAsia="Times New Roman" w:hAnsi="Times New Roman"/>
          <w:sz w:val="17"/>
          <w:szCs w:val="17"/>
          <w:color w:val="auto"/>
        </w:rPr>
      </w:pPr>
    </w:p>
    <w:p>
      <w:pPr>
        <w:ind w:left="1060" w:hanging="237"/>
        <w:spacing w:after="0"/>
        <w:tabs>
          <w:tab w:leader="none" w:pos="106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change in Sections 6.8, 6.13 or 9.3 (this sentence); or</w:t>
      </w:r>
    </w:p>
    <w:p>
      <w:pPr>
        <w:spacing w:after="0" w:line="110" w:lineRule="exact"/>
        <w:rPr>
          <w:rFonts w:ascii="Times New Roman" w:cs="Times New Roman" w:eastAsia="Times New Roman" w:hAnsi="Times New Roman"/>
          <w:sz w:val="17"/>
          <w:szCs w:val="17"/>
          <w:color w:val="auto"/>
        </w:rPr>
      </w:pPr>
    </w:p>
    <w:p>
      <w:pPr>
        <w:ind w:left="1060" w:hanging="237"/>
        <w:spacing w:after="0"/>
        <w:tabs>
          <w:tab w:leader="none" w:pos="106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 a redemption payment with respect to any Security, provided that such redemption is made at the Company’s option.</w:t>
      </w: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9.4 </w:t>
      </w:r>
      <w:r>
        <w:rPr>
          <w:rFonts w:ascii="Times New Roman" w:cs="Times New Roman" w:eastAsia="Times New Roman" w:hAnsi="Times New Roman"/>
          <w:sz w:val="17"/>
          <w:szCs w:val="17"/>
          <w:u w:val="single" w:color="auto"/>
          <w:color w:val="auto"/>
        </w:rPr>
        <w:t>Compliance with Trust Indenture Act</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80" w:firstLine="416"/>
        <w:spacing w:after="0" w:line="279" w:lineRule="auto"/>
        <w:rPr>
          <w:sz w:val="20"/>
          <w:szCs w:val="20"/>
          <w:color w:val="auto"/>
        </w:rPr>
      </w:pPr>
      <w:r>
        <w:rPr>
          <w:rFonts w:ascii="Times New Roman" w:cs="Times New Roman" w:eastAsia="Times New Roman" w:hAnsi="Times New Roman"/>
          <w:sz w:val="17"/>
          <w:szCs w:val="17"/>
          <w:color w:val="auto"/>
        </w:rPr>
        <w:t>Every amendment to this Indenture or the Securities of one or more Series shall be set forth in a supplemental indenture hereto that complies with the TIA as then in effect.</w:t>
      </w:r>
    </w:p>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9.5 </w:t>
      </w:r>
      <w:r>
        <w:rPr>
          <w:rFonts w:ascii="Times New Roman" w:cs="Times New Roman" w:eastAsia="Times New Roman" w:hAnsi="Times New Roman"/>
          <w:sz w:val="17"/>
          <w:szCs w:val="17"/>
          <w:u w:val="single" w:color="auto"/>
          <w:color w:val="auto"/>
        </w:rPr>
        <w:t>Revocation and Effect of Consents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firstLine="416"/>
        <w:spacing w:after="0" w:line="257" w:lineRule="auto"/>
        <w:rPr>
          <w:sz w:val="20"/>
          <w:szCs w:val="20"/>
          <w:color w:val="auto"/>
        </w:rPr>
      </w:pPr>
      <w:r>
        <w:rPr>
          <w:rFonts w:ascii="Times New Roman" w:cs="Times New Roman" w:eastAsia="Times New Roman" w:hAnsi="Times New Roman"/>
          <w:sz w:val="17"/>
          <w:szCs w:val="17"/>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ectPr>
          <w:pgSz w:w="11900" w:h="16838" w:orient="portrait"/>
          <w:cols w:equalWidth="0" w:num="1">
            <w:col w:w="10400"/>
          </w:cols>
          <w:pgMar w:left="740" w:top="263" w:right="759" w:bottom="1440" w:gutter="0" w:footer="0" w:header="0"/>
        </w:sectPr>
      </w:pPr>
    </w:p>
    <w:bookmarkStart w:id="159" w:name="page160"/>
    <w:bookmarkEnd w:id="159"/>
    <w:p>
      <w:pPr>
        <w:ind w:right="140" w:firstLine="416"/>
        <w:spacing w:after="0" w:line="26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7">
                      <a:extLst>
                        <a:ext uri="{28A0092B-C50C-407E-A947-70E740481C1C}"/>
                      </a:extLst>
                    </a:blip>
                    <a:srcRect/>
                    <a:stretch>
                      <a:fillRect/>
                    </a:stretch>
                  </pic:blipFill>
                  <pic:spPr bwMode="auto">
                    <a:xfrm>
                      <a:off x="0" y="0"/>
                      <a:ext cx="7181850" cy="36830"/>
                    </a:xfrm>
                    <a:prstGeom prst="rect">
                      <a:avLst/>
                    </a:prstGeom>
                    <a:noFill/>
                  </pic:spPr>
                </pic:pic>
              </a:graphicData>
            </a:graphic>
          </wp:anchor>
        </w:drawing>
        <w:t>Any amendment or waiver once effective shall bind every Securityholder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70" w:lineRule="exact"/>
        <w:rPr>
          <w:sz w:val="20"/>
          <w:szCs w:val="20"/>
          <w:color w:val="auto"/>
        </w:rPr>
      </w:pPr>
    </w:p>
    <w:p>
      <w:pPr>
        <w:ind w:right="80" w:firstLine="416"/>
        <w:spacing w:after="0" w:line="257" w:lineRule="auto"/>
        <w:rPr>
          <w:sz w:val="20"/>
          <w:szCs w:val="20"/>
          <w:color w:val="auto"/>
        </w:rPr>
      </w:pPr>
      <w:r>
        <w:rPr>
          <w:rFonts w:ascii="Times New Roman" w:cs="Times New Roman" w:eastAsia="Times New Roman" w:hAnsi="Times New Roman"/>
          <w:sz w:val="17"/>
          <w:szCs w:val="17"/>
          <w:color w:val="auto"/>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second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9.6 </w:t>
      </w:r>
      <w:r>
        <w:rPr>
          <w:rFonts w:ascii="Times New Roman" w:cs="Times New Roman" w:eastAsia="Times New Roman" w:hAnsi="Times New Roman"/>
          <w:sz w:val="17"/>
          <w:szCs w:val="17"/>
          <w:u w:val="single" w:color="auto"/>
          <w:color w:val="auto"/>
        </w:rPr>
        <w:t>Notation on or Exchange of Securities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160" w:firstLine="416"/>
        <w:spacing w:after="0" w:line="264" w:lineRule="auto"/>
        <w:rPr>
          <w:sz w:val="20"/>
          <w:szCs w:val="20"/>
          <w:color w:val="auto"/>
        </w:rPr>
      </w:pPr>
      <w:r>
        <w:rPr>
          <w:rFonts w:ascii="Times New Roman" w:cs="Times New Roman" w:eastAsia="Times New Roman" w:hAnsi="Times New Roman"/>
          <w:sz w:val="17"/>
          <w:szCs w:val="17"/>
          <w:color w:val="auto"/>
        </w:rPr>
        <w:t>The Company or the Trustee may place an appropriate notation about an amendment or waiver on any Security of any Series thereafter authenticated. The Company in exchange for Securities of that Series may issue and the Trustee shall authenticate upon receipt of a Company Order in accordance with Section 2.3 new Securities of that Series that reflect the amendment or waiver.</w:t>
      </w:r>
    </w:p>
    <w:p>
      <w:pPr>
        <w:spacing w:after="0" w:line="1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9.7 </w:t>
      </w:r>
      <w:r>
        <w:rPr>
          <w:rFonts w:ascii="Times New Roman" w:cs="Times New Roman" w:eastAsia="Times New Roman" w:hAnsi="Times New Roman"/>
          <w:sz w:val="17"/>
          <w:szCs w:val="17"/>
          <w:u w:val="single" w:color="auto"/>
          <w:color w:val="auto"/>
        </w:rPr>
        <w:t>Trustee Protected</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40" w:firstLine="416"/>
        <w:spacing w:after="0" w:line="257" w:lineRule="auto"/>
        <w:rPr>
          <w:sz w:val="20"/>
          <w:szCs w:val="20"/>
          <w:color w:val="auto"/>
        </w:rPr>
      </w:pPr>
      <w:r>
        <w:rPr>
          <w:rFonts w:ascii="Times New Roman" w:cs="Times New Roman" w:eastAsia="Times New Roman" w:hAnsi="Times New Roman"/>
          <w:sz w:val="17"/>
          <w:szCs w:val="17"/>
          <w:color w:val="auto"/>
        </w:rPr>
        <w:t>In executing, or accepting the additional trusts created by, any supplemental indenture permitted by this Article or the modifications thereby of the trusts created by this Indenture, the Trustee shall be entitled to receive, and (subject to Section 7.1) shall be fully protected in relying upon, an Officer’s Certificate or an Opinion of Counsel or both complying with Section 10.4. The Trustee shall sign all supplemental indentures upon delivery of such an Officer’s Certificate or Opinion of Counsel or both, except that the Trustee need not sign any supplemental indenture that adversely affects its rights, duties, liabilities or immunities under this Indenture.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ARTICLE X.</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MISCELLANEOUS</w:t>
      </w:r>
    </w:p>
    <w:p>
      <w:pPr>
        <w:spacing w:after="0" w:line="1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10.1 </w:t>
      </w:r>
      <w:r>
        <w:rPr>
          <w:rFonts w:ascii="Times New Roman" w:cs="Times New Roman" w:eastAsia="Times New Roman" w:hAnsi="Times New Roman"/>
          <w:sz w:val="17"/>
          <w:szCs w:val="17"/>
          <w:u w:val="single" w:color="auto"/>
          <w:color w:val="auto"/>
        </w:rPr>
        <w:t>Trust Indenture Act Controls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60" w:firstLine="416"/>
        <w:spacing w:after="0" w:line="279" w:lineRule="auto"/>
        <w:rPr>
          <w:sz w:val="20"/>
          <w:szCs w:val="20"/>
          <w:color w:val="auto"/>
        </w:rPr>
      </w:pPr>
      <w:r>
        <w:rPr>
          <w:rFonts w:ascii="Times New Roman" w:cs="Times New Roman" w:eastAsia="Times New Roman" w:hAnsi="Times New Roman"/>
          <w:sz w:val="17"/>
          <w:szCs w:val="17"/>
          <w:color w:val="auto"/>
        </w:rPr>
        <w:t>If any provision of this Indenture limits, qualifies, or conflicts with another provision which is required or deemed to be included in this Indenture by the TIA, such required or deemed provision shall control.</w:t>
      </w:r>
    </w:p>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10.2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firstLine="416"/>
        <w:spacing w:after="0" w:line="264" w:lineRule="auto"/>
        <w:rPr>
          <w:sz w:val="20"/>
          <w:szCs w:val="20"/>
          <w:color w:val="auto"/>
        </w:rPr>
      </w:pPr>
      <w:r>
        <w:rPr>
          <w:rFonts w:ascii="Times New Roman" w:cs="Times New Roman" w:eastAsia="Times New Roman" w:hAnsi="Times New Roman"/>
          <w:sz w:val="17"/>
          <w:szCs w:val="17"/>
          <w:color w:val="auto"/>
        </w:rPr>
        <w:t>Any notice or communication by the Company or the Trustee to the other, or by a Holder to the Company or the Trustee, is duly given if in writing and delivered in person or mailed by first-class mail (registered or certified, return receipt requested), facsimile transmission, email or overnight air courier guaranteeing next day delivery, to the others’ address: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ectPr>
          <w:pgSz w:w="11900" w:h="16838" w:orient="portrait"/>
          <w:cols w:equalWidth="0" w:num="1">
            <w:col w:w="10400"/>
          </w:cols>
          <w:pgMar w:left="740" w:top="263" w:right="759" w:bottom="1440" w:gutter="0" w:footer="0" w:header="0"/>
        </w:sectPr>
      </w:pPr>
    </w:p>
    <w:bookmarkStart w:id="160" w:name="page161"/>
    <w:bookmarkEnd w:id="160"/>
    <w:p>
      <w:pPr>
        <w:ind w:left="4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8">
                      <a:extLst>
                        <a:ext uri="{28A0092B-C50C-407E-A947-70E740481C1C}"/>
                      </a:extLst>
                    </a:blip>
                    <a:srcRect/>
                    <a:stretch>
                      <a:fillRect/>
                    </a:stretch>
                  </pic:blipFill>
                  <pic:spPr bwMode="auto">
                    <a:xfrm>
                      <a:off x="0" y="0"/>
                      <a:ext cx="7181850" cy="36830"/>
                    </a:xfrm>
                    <a:prstGeom prst="rect">
                      <a:avLst/>
                    </a:prstGeom>
                    <a:noFill/>
                  </pic:spPr>
                </pic:pic>
              </a:graphicData>
            </a:graphic>
          </wp:anchor>
        </w:drawing>
        <w:t>if to the Company:</w:t>
      </w:r>
    </w:p>
    <w:p>
      <w:pPr>
        <w:spacing w:after="0" w:line="11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T2 Biosystems, Inc.</w:t>
      </w:r>
    </w:p>
    <w:p>
      <w:pPr>
        <w:spacing w:after="0" w:line="24" w:lineRule="exact"/>
        <w:rPr>
          <w:sz w:val="20"/>
          <w:szCs w:val="20"/>
          <w:color w:val="auto"/>
        </w:rPr>
      </w:pPr>
    </w:p>
    <w:p>
      <w:pPr>
        <w:ind w:left="940" w:right="7420" w:firstLine="4"/>
        <w:spacing w:after="0" w:line="255" w:lineRule="auto"/>
        <w:tabs>
          <w:tab w:leader="none" w:pos="1237"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Hartwell Avenue Lexington, MA 02421 Attention: General Counsel</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with a copy to:</w:t>
      </w:r>
    </w:p>
    <w:p>
      <w:pPr>
        <w:spacing w:after="0" w:line="11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Latham &amp; Watkins LLP</w:t>
      </w:r>
    </w:p>
    <w:p>
      <w:pPr>
        <w:spacing w:after="0" w:line="2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200 Clarendon Street, 27th Floor</w:t>
      </w:r>
    </w:p>
    <w:p>
      <w:pPr>
        <w:spacing w:after="0" w:line="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Boston, Massachusetts 02116</w:t>
      </w:r>
    </w:p>
    <w:p>
      <w:pPr>
        <w:spacing w:after="0" w:line="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Attention: Evan Smith, Esq.</w:t>
      </w:r>
    </w:p>
    <w:p>
      <w:pPr>
        <w:spacing w:after="0" w:line="1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if to the Trustee:</w:t>
      </w:r>
    </w:p>
    <w:p>
      <w:pPr>
        <w:spacing w:after="0" w:line="11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Attention: [ ]</w:t>
      </w:r>
    </w:p>
    <w:p>
      <w:pPr>
        <w:spacing w:after="0" w:line="2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Telephone: [ ]</w:t>
      </w:r>
    </w:p>
    <w:p>
      <w:pPr>
        <w:spacing w:after="0" w:line="1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with a copy to:</w:t>
      </w:r>
    </w:p>
    <w:p>
      <w:pPr>
        <w:spacing w:after="0" w:line="11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 ] Attention:</w:t>
      </w:r>
    </w:p>
    <w:p>
      <w:pPr>
        <w:spacing w:after="0" w:line="2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 ] Telephone: [ ]</w:t>
      </w:r>
    </w:p>
    <w:p>
      <w:pPr>
        <w:spacing w:after="0" w:line="1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Company or the Trustee by notice to the other may designate additional or different addresses for subsequent notices or communications.</w:t>
      </w:r>
    </w:p>
    <w:p>
      <w:pPr>
        <w:spacing w:after="0" w:line="212" w:lineRule="exact"/>
        <w:rPr>
          <w:sz w:val="20"/>
          <w:szCs w:val="20"/>
          <w:color w:val="auto"/>
        </w:rPr>
      </w:pPr>
    </w:p>
    <w:p>
      <w:pPr>
        <w:jc w:val="both"/>
        <w:ind w:firstLine="416"/>
        <w:spacing w:after="0" w:line="264" w:lineRule="auto"/>
        <w:rPr>
          <w:sz w:val="20"/>
          <w:szCs w:val="20"/>
          <w:color w:val="auto"/>
        </w:rPr>
      </w:pPr>
      <w:r>
        <w:rPr>
          <w:rFonts w:ascii="Times New Roman" w:cs="Times New Roman" w:eastAsia="Times New Roman" w:hAnsi="Times New Roman"/>
          <w:sz w:val="17"/>
          <w:szCs w:val="17"/>
          <w:color w:val="auto"/>
        </w:rPr>
        <w:t>Any notice or communication to a Securityholder shall be sent electronically or by first-class mail to his, her or its address shown on the register kept by the Registrar, in accordance with the procedures of the Depositary. Failure to send a notice or communication to a Securityholder of any Series or any defect in it shall not affect its sufficiency with respect to other Securityholders of that or any other Series.</w:t>
      </w:r>
    </w:p>
    <w:p>
      <w:pPr>
        <w:spacing w:after="0" w:line="170" w:lineRule="exact"/>
        <w:rPr>
          <w:sz w:val="20"/>
          <w:szCs w:val="20"/>
          <w:color w:val="auto"/>
        </w:rPr>
      </w:pPr>
    </w:p>
    <w:p>
      <w:pPr>
        <w:ind w:right="140" w:firstLine="416"/>
        <w:spacing w:after="0" w:line="279" w:lineRule="auto"/>
        <w:rPr>
          <w:sz w:val="20"/>
          <w:szCs w:val="20"/>
          <w:color w:val="auto"/>
        </w:rPr>
      </w:pPr>
      <w:r>
        <w:rPr>
          <w:rFonts w:ascii="Times New Roman" w:cs="Times New Roman" w:eastAsia="Times New Roman" w:hAnsi="Times New Roman"/>
          <w:sz w:val="17"/>
          <w:szCs w:val="17"/>
          <w:color w:val="auto"/>
        </w:rPr>
        <w:t>If a notice or communication is sent or published in the manner provided above, within the time prescribed, it is duly given, whether or not the Securityholder receives it.</w:t>
      </w:r>
    </w:p>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If the Company sends a notice or communication to Securityholders, it shall send a copy to the Trustee and each Agent at the same time.</w:t>
      </w:r>
    </w:p>
    <w:p>
      <w:pPr>
        <w:spacing w:after="0" w:line="212" w:lineRule="exact"/>
        <w:rPr>
          <w:sz w:val="20"/>
          <w:szCs w:val="20"/>
          <w:color w:val="auto"/>
        </w:rPr>
      </w:pPr>
    </w:p>
    <w:p>
      <w:pPr>
        <w:jc w:val="both"/>
        <w:ind w:right="300" w:firstLine="416"/>
        <w:spacing w:after="0" w:line="264" w:lineRule="auto"/>
        <w:rPr>
          <w:sz w:val="20"/>
          <w:szCs w:val="20"/>
          <w:color w:val="auto"/>
        </w:rPr>
      </w:pPr>
      <w:r>
        <w:rPr>
          <w:rFonts w:ascii="Times New Roman" w:cs="Times New Roman" w:eastAsia="Times New Roman" w:hAnsi="Times New Roman"/>
          <w:sz w:val="17"/>
          <w:szCs w:val="17"/>
          <w:color w:val="auto"/>
        </w:rPr>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w:t>
      </w:r>
    </w:p>
    <w:p>
      <w:pPr>
        <w:spacing w:after="0" w:line="1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39</w:t>
      </w:r>
    </w:p>
    <w:p>
      <w:pPr>
        <w:sectPr>
          <w:pgSz w:w="11900" w:h="16838" w:orient="portrait"/>
          <w:cols w:equalWidth="0" w:num="1">
            <w:col w:w="10240"/>
          </w:cols>
          <w:pgMar w:left="740" w:top="263" w:right="919" w:bottom="1440" w:gutter="0" w:footer="0" w:header="0"/>
        </w:sectPr>
      </w:pPr>
    </w:p>
    <w:bookmarkStart w:id="161" w:name="page162"/>
    <w:bookmarkEnd w:id="161"/>
    <w:p>
      <w:pPr>
        <w:ind w:left="4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9">
                      <a:extLst>
                        <a:ext uri="{28A0092B-C50C-407E-A947-70E740481C1C}"/>
                      </a:extLst>
                    </a:blip>
                    <a:srcRect/>
                    <a:stretch>
                      <a:fillRect/>
                    </a:stretch>
                  </pic:blipFill>
                  <pic:spPr bwMode="auto">
                    <a:xfrm>
                      <a:off x="0" y="0"/>
                      <a:ext cx="7181850" cy="36830"/>
                    </a:xfrm>
                    <a:prstGeom prst="rect">
                      <a:avLst/>
                    </a:prstGeom>
                    <a:noFill/>
                  </pic:spPr>
                </pic:pic>
              </a:graphicData>
            </a:graphic>
          </wp:anchor>
        </w:drawing>
        <w:t xml:space="preserve">Section 10.3 </w:t>
      </w:r>
      <w:r>
        <w:rPr>
          <w:rFonts w:ascii="Times New Roman" w:cs="Times New Roman" w:eastAsia="Times New Roman" w:hAnsi="Times New Roman"/>
          <w:sz w:val="17"/>
          <w:szCs w:val="17"/>
          <w:u w:val="single" w:color="auto"/>
          <w:color w:val="auto"/>
        </w:rPr>
        <w:t>Communication by Holders with Other Holders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260" w:firstLine="416"/>
        <w:spacing w:after="0" w:line="264" w:lineRule="auto"/>
        <w:rPr>
          <w:sz w:val="20"/>
          <w:szCs w:val="20"/>
          <w:color w:val="auto"/>
        </w:rPr>
      </w:pPr>
      <w:r>
        <w:rPr>
          <w:rFonts w:ascii="Times New Roman" w:cs="Times New Roman" w:eastAsia="Times New Roman" w:hAnsi="Times New Roman"/>
          <w:sz w:val="17"/>
          <w:szCs w:val="17"/>
          <w:color w:val="auto"/>
        </w:rPr>
        <w:t>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w:t>
      </w:r>
    </w:p>
    <w:p>
      <w:pPr>
        <w:spacing w:after="0" w:line="1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10.4 </w:t>
      </w:r>
      <w:r>
        <w:rPr>
          <w:rFonts w:ascii="Times New Roman" w:cs="Times New Roman" w:eastAsia="Times New Roman" w:hAnsi="Times New Roman"/>
          <w:sz w:val="17"/>
          <w:szCs w:val="17"/>
          <w:u w:val="single" w:color="auto"/>
          <w:color w:val="auto"/>
        </w:rPr>
        <w:t>Certificate and Opinion as to Conditions Precedent</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Upon any request or application by the Company to the Trustee to take any action under this Indenture, the Company shall furnish to the Trustee:</w:t>
      </w:r>
    </w:p>
    <w:p>
      <w:pPr>
        <w:spacing w:after="0" w:line="110" w:lineRule="exact"/>
        <w:rPr>
          <w:sz w:val="20"/>
          <w:szCs w:val="20"/>
          <w:color w:val="auto"/>
        </w:rPr>
      </w:pPr>
    </w:p>
    <w:p>
      <w:pPr>
        <w:ind w:left="420" w:firstLine="403"/>
        <w:spacing w:after="0" w:line="279" w:lineRule="auto"/>
        <w:tabs>
          <w:tab w:leader="none" w:pos="105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Officer’s Certificate stating that, in the opinion of the signers, all conditions precedent, if any, provided for in this Indenture relating to the proposed action have been complied with; and</w:t>
      </w:r>
    </w:p>
    <w:p>
      <w:pPr>
        <w:spacing w:after="0" w:line="54" w:lineRule="exact"/>
        <w:rPr>
          <w:rFonts w:ascii="Times New Roman" w:cs="Times New Roman" w:eastAsia="Times New Roman" w:hAnsi="Times New Roman"/>
          <w:sz w:val="17"/>
          <w:szCs w:val="17"/>
          <w:color w:val="auto"/>
        </w:rPr>
      </w:pPr>
    </w:p>
    <w:p>
      <w:pPr>
        <w:ind w:left="1060" w:hanging="237"/>
        <w:spacing w:after="0"/>
        <w:tabs>
          <w:tab w:leader="none" w:pos="106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Opinion of Counsel stating that, in the opinion of such counsel, all such conditions precedent have been complied with.</w:t>
      </w: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10.5 </w:t>
      </w:r>
      <w:r>
        <w:rPr>
          <w:rFonts w:ascii="Times New Roman" w:cs="Times New Roman" w:eastAsia="Times New Roman" w:hAnsi="Times New Roman"/>
          <w:sz w:val="17"/>
          <w:szCs w:val="17"/>
          <w:u w:val="single" w:color="auto"/>
          <w:color w:val="auto"/>
        </w:rPr>
        <w:t>Statements Required in Certificate or Opinion</w:t>
      </w:r>
    </w:p>
    <w:p>
      <w:pPr>
        <w:spacing w:after="0" w:line="212" w:lineRule="exact"/>
        <w:rPr>
          <w:sz w:val="20"/>
          <w:szCs w:val="20"/>
          <w:color w:val="auto"/>
        </w:rPr>
      </w:pPr>
    </w:p>
    <w:p>
      <w:pPr>
        <w:ind w:right="120" w:firstLine="935"/>
        <w:spacing w:after="0" w:line="279" w:lineRule="auto"/>
        <w:rPr>
          <w:sz w:val="20"/>
          <w:szCs w:val="20"/>
          <w:color w:val="auto"/>
        </w:rPr>
      </w:pPr>
      <w:r>
        <w:rPr>
          <w:rFonts w:ascii="Times New Roman" w:cs="Times New Roman" w:eastAsia="Times New Roman" w:hAnsi="Times New Roman"/>
          <w:sz w:val="17"/>
          <w:szCs w:val="17"/>
          <w:color w:val="auto"/>
        </w:rPr>
        <w:t>Each certificate or opinion with respect to compliance with a condition or covenant provided for in this Indenture (other than a certificate provided pursuant to TIA § 314(a)(4)) shall comply with the provisions of TIA § 314(e) and shall include:</w:t>
      </w:r>
    </w:p>
    <w:p>
      <w:pPr>
        <w:spacing w:after="0" w:line="55" w:lineRule="exact"/>
        <w:rPr>
          <w:sz w:val="20"/>
          <w:szCs w:val="20"/>
          <w:color w:val="auto"/>
        </w:rPr>
      </w:pPr>
    </w:p>
    <w:p>
      <w:pPr>
        <w:ind w:left="1060" w:hanging="237"/>
        <w:spacing w:after="0"/>
        <w:tabs>
          <w:tab w:leader="none" w:pos="106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statement that the person making such certificate or opinion has read such covenant or condition;</w:t>
      </w:r>
    </w:p>
    <w:p>
      <w:pPr>
        <w:spacing w:after="0" w:line="110" w:lineRule="exact"/>
        <w:rPr>
          <w:rFonts w:ascii="Times New Roman" w:cs="Times New Roman" w:eastAsia="Times New Roman" w:hAnsi="Times New Roman"/>
          <w:sz w:val="17"/>
          <w:szCs w:val="17"/>
          <w:color w:val="auto"/>
        </w:rPr>
      </w:pPr>
    </w:p>
    <w:p>
      <w:pPr>
        <w:ind w:left="420" w:right="80" w:firstLine="403"/>
        <w:spacing w:after="0" w:line="279" w:lineRule="auto"/>
        <w:tabs>
          <w:tab w:leader="none" w:pos="1059"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brief statement as to the nature and scope of the examination or investigation upon which the statements or opinions contained in such certificate or opinion are based;</w:t>
      </w:r>
    </w:p>
    <w:p>
      <w:pPr>
        <w:spacing w:after="0" w:line="54" w:lineRule="exact"/>
        <w:rPr>
          <w:rFonts w:ascii="Times New Roman" w:cs="Times New Roman" w:eastAsia="Times New Roman" w:hAnsi="Times New Roman"/>
          <w:sz w:val="17"/>
          <w:szCs w:val="17"/>
          <w:color w:val="auto"/>
        </w:rPr>
      </w:pPr>
    </w:p>
    <w:p>
      <w:pPr>
        <w:ind w:left="420" w:firstLine="403"/>
        <w:spacing w:after="0" w:line="279" w:lineRule="auto"/>
        <w:tabs>
          <w:tab w:leader="none" w:pos="105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54" w:lineRule="exact"/>
        <w:rPr>
          <w:rFonts w:ascii="Times New Roman" w:cs="Times New Roman" w:eastAsia="Times New Roman" w:hAnsi="Times New Roman"/>
          <w:sz w:val="17"/>
          <w:szCs w:val="17"/>
          <w:color w:val="auto"/>
        </w:rPr>
      </w:pPr>
    </w:p>
    <w:p>
      <w:pPr>
        <w:ind w:left="1060" w:hanging="237"/>
        <w:spacing w:after="0"/>
        <w:tabs>
          <w:tab w:leader="none" w:pos="106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statement as to whether or not, in the opinion of such person, such condition or covenant has been complied with.</w:t>
      </w: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10.6 </w:t>
      </w:r>
      <w:r>
        <w:rPr>
          <w:rFonts w:ascii="Times New Roman" w:cs="Times New Roman" w:eastAsia="Times New Roman" w:hAnsi="Times New Roman"/>
          <w:sz w:val="17"/>
          <w:szCs w:val="17"/>
          <w:u w:val="single" w:color="auto"/>
          <w:color w:val="auto"/>
        </w:rPr>
        <w:t>Rules by Trustee and Agents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320" w:firstLine="416"/>
        <w:spacing w:after="0" w:line="279" w:lineRule="auto"/>
        <w:rPr>
          <w:sz w:val="20"/>
          <w:szCs w:val="20"/>
          <w:color w:val="auto"/>
        </w:rPr>
      </w:pPr>
      <w:r>
        <w:rPr>
          <w:rFonts w:ascii="Times New Roman" w:cs="Times New Roman" w:eastAsia="Times New Roman" w:hAnsi="Times New Roman"/>
          <w:sz w:val="17"/>
          <w:szCs w:val="17"/>
          <w:color w:val="auto"/>
        </w:rPr>
        <w:t>The Trustee may make reasonable rules for action by or a meeting of Securityholders of one or more Series. Any Agent may make reasonable rules and set reasonable requirements for its functions.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ectPr>
          <w:pgSz w:w="11900" w:h="16838" w:orient="portrait"/>
          <w:cols w:equalWidth="0" w:num="1">
            <w:col w:w="10380"/>
          </w:cols>
          <w:pgMar w:left="740" w:top="263" w:right="779" w:bottom="1440" w:gutter="0" w:footer="0" w:header="0"/>
        </w:sectPr>
      </w:pPr>
    </w:p>
    <w:bookmarkStart w:id="162" w:name="page163"/>
    <w:bookmarkEnd w:id="162"/>
    <w:p>
      <w:pPr>
        <w:ind w:left="4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0">
                      <a:extLst>
                        <a:ext uri="{28A0092B-C50C-407E-A947-70E740481C1C}"/>
                      </a:extLst>
                    </a:blip>
                    <a:srcRect/>
                    <a:stretch>
                      <a:fillRect/>
                    </a:stretch>
                  </pic:blipFill>
                  <pic:spPr bwMode="auto">
                    <a:xfrm>
                      <a:off x="0" y="0"/>
                      <a:ext cx="7181850" cy="36830"/>
                    </a:xfrm>
                    <a:prstGeom prst="rect">
                      <a:avLst/>
                    </a:prstGeom>
                    <a:noFill/>
                  </pic:spPr>
                </pic:pic>
              </a:graphicData>
            </a:graphic>
          </wp:anchor>
        </w:drawing>
        <w:t xml:space="preserve">Section 10.7 </w:t>
      </w:r>
      <w:r>
        <w:rPr>
          <w:rFonts w:ascii="Times New Roman" w:cs="Times New Roman" w:eastAsia="Times New Roman" w:hAnsi="Times New Roman"/>
          <w:sz w:val="17"/>
          <w:szCs w:val="17"/>
          <w:u w:val="single" w:color="auto"/>
          <w:color w:val="auto"/>
        </w:rPr>
        <w:t>Legal Holidays</w:t>
      </w:r>
      <w:r>
        <w:rPr>
          <w:rFonts w:ascii="Times New Roman" w:cs="Times New Roman" w:eastAsia="Times New Roman" w:hAnsi="Times New Roman"/>
          <w:sz w:val="17"/>
          <w:szCs w:val="17"/>
          <w:color w:val="auto"/>
        </w:rPr>
        <w:t>.</w:t>
      </w:r>
    </w:p>
    <w:p>
      <w:pPr>
        <w:spacing w:after="0" w:line="208" w:lineRule="exact"/>
        <w:rPr>
          <w:sz w:val="20"/>
          <w:szCs w:val="20"/>
          <w:color w:val="auto"/>
        </w:rPr>
      </w:pPr>
    </w:p>
    <w:p>
      <w:pPr>
        <w:ind w:right="20" w:firstLine="416"/>
        <w:spacing w:after="0" w:line="284"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i w:val="1"/>
          <w:iCs w:val="1"/>
          <w:color w:val="auto"/>
        </w:rPr>
        <w:t>Legal Holiday</w:t>
      </w:r>
      <w:r>
        <w:rPr>
          <w:rFonts w:ascii="Times New Roman" w:cs="Times New Roman" w:eastAsia="Times New Roman" w:hAnsi="Times New Roman"/>
          <w:sz w:val="17"/>
          <w:szCs w:val="17"/>
          <w:color w:val="auto"/>
        </w:rPr>
        <w:t>”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1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10.8 </w:t>
      </w:r>
      <w:r>
        <w:rPr>
          <w:rFonts w:ascii="Times New Roman" w:cs="Times New Roman" w:eastAsia="Times New Roman" w:hAnsi="Times New Roman"/>
          <w:sz w:val="17"/>
          <w:szCs w:val="17"/>
          <w:u w:val="single" w:color="auto"/>
          <w:color w:val="auto"/>
        </w:rPr>
        <w:t>No Recourse Against Others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340" w:firstLine="416"/>
        <w:spacing w:after="0" w:line="259" w:lineRule="auto"/>
        <w:rPr>
          <w:sz w:val="20"/>
          <w:szCs w:val="20"/>
          <w:color w:val="auto"/>
        </w:rPr>
      </w:pPr>
      <w:r>
        <w:rPr>
          <w:rFonts w:ascii="Times New Roman" w:cs="Times New Roman" w:eastAsia="Times New Roman" w:hAnsi="Times New Roman"/>
          <w:sz w:val="17"/>
          <w:szCs w:val="17"/>
          <w:color w:val="auto"/>
        </w:rPr>
        <w:t>A director, officer, employee or stockholder (past or present), as such, of the Company shall not have any liability for any obligations of the Company under the Securities or the Indenture or for any claim based on, in respect of or by reason of such obligations or their creation. Each Securityholder by accepting a Security waives and releases all such liability. The waiver and release are part of the consideration for the issue of the Securities.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10.9 </w:t>
      </w: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40" w:firstLine="416"/>
        <w:spacing w:after="0" w:line="257" w:lineRule="auto"/>
        <w:rPr>
          <w:sz w:val="20"/>
          <w:szCs w:val="20"/>
          <w:color w:val="auto"/>
        </w:rPr>
      </w:pPr>
      <w:r>
        <w:rPr>
          <w:rFonts w:ascii="Times New Roman" w:cs="Times New Roman" w:eastAsia="Times New Roman" w:hAnsi="Times New Roman"/>
          <w:sz w:val="17"/>
          <w:szCs w:val="17"/>
          <w:color w:val="auto"/>
        </w:rPr>
        <w:t>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10.10 </w:t>
      </w:r>
      <w:r>
        <w:rPr>
          <w:rFonts w:ascii="Times New Roman" w:cs="Times New Roman" w:eastAsia="Times New Roman" w:hAnsi="Times New Roman"/>
          <w:sz w:val="17"/>
          <w:szCs w:val="17"/>
          <w:u w:val="single" w:color="auto"/>
          <w:color w:val="auto"/>
        </w:rPr>
        <w:t>Governing Law; Waiver of Jury Trial; Consent to Jurisdiction</w:t>
      </w:r>
      <w:r>
        <w:rPr>
          <w:rFonts w:ascii="Times New Roman" w:cs="Times New Roman" w:eastAsia="Times New Roman" w:hAnsi="Times New Roman"/>
          <w:sz w:val="17"/>
          <w:szCs w:val="17"/>
          <w:color w:val="auto"/>
        </w:rPr>
        <w:t>.</w:t>
      </w:r>
    </w:p>
    <w:p>
      <w:pPr>
        <w:spacing w:after="0" w:line="208" w:lineRule="exact"/>
        <w:rPr>
          <w:sz w:val="20"/>
          <w:szCs w:val="20"/>
          <w:color w:val="auto"/>
        </w:rPr>
      </w:pPr>
    </w:p>
    <w:p>
      <w:pPr>
        <w:ind w:right="20" w:firstLine="416"/>
        <w:spacing w:after="0" w:line="256" w:lineRule="auto"/>
        <w:rPr>
          <w:sz w:val="20"/>
          <w:szCs w:val="20"/>
          <w:color w:val="auto"/>
        </w:rPr>
      </w:pPr>
      <w:r>
        <w:rPr>
          <w:rFonts w:ascii="Times New Roman" w:cs="Times New Roman" w:eastAsia="Times New Roman" w:hAnsi="Times New Roman"/>
          <w:sz w:val="17"/>
          <w:szCs w:val="17"/>
          <w:b w:val="1"/>
          <w:bCs w:val="1"/>
          <w:color w:val="auto"/>
        </w:rPr>
        <w:t>THIS INDENTURE AND THE SECURITIES, INCLUDING ANY CLAIM OR CONTROVERSY ARISING OUT OF OR RELATING TO THE INDENTURE OR THE SECURITIES, SHALL BE GOVERNED BY THE LAWS OF THE STATE OF NEW YORK. THE COMPANY, THE TRUSTEE AND THE HOLDERS (BY THEIR ACCEPTANCE OF THE SECURITIES) EACH HEREBY IRREVOCABLY WAIVE, TO THE FULLEST EXTENT PERMITTED BY APPLICABLE LAW, ANY AND ALL RIGHT TO TRIAL BY JURY IN ANY LEGAL PROCEEDING ARISING OUT OF OR RELATING TO THIS INDENTURE, THE NOTES OR THE TRANSACTIONS CONTEMPLATED HEREBY OR THEREBY.</w:t>
      </w:r>
    </w:p>
    <w:p>
      <w:pPr>
        <w:spacing w:after="0" w:line="179"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7"/>
          <w:szCs w:val="17"/>
          <w:color w:val="auto"/>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w:t>
      </w:r>
      <w:r>
        <w:rPr>
          <w:rFonts w:ascii="Times New Roman" w:cs="Times New Roman" w:eastAsia="Times New Roman" w:hAnsi="Times New Roman"/>
          <w:sz w:val="17"/>
          <w:szCs w:val="17"/>
          <w:i w:val="1"/>
          <w:iCs w:val="1"/>
          <w:color w:val="auto"/>
        </w:rPr>
        <w:t>Specified Courts</w:t>
      </w:r>
      <w:r>
        <w:rPr>
          <w:rFonts w:ascii="Times New Roman" w:cs="Times New Roman" w:eastAsia="Times New Roman" w:hAnsi="Times New Roman"/>
          <w:sz w:val="17"/>
          <w:szCs w:val="17"/>
          <w:color w:val="auto"/>
        </w:rPr>
        <w:t>”), and each party irrevocably submits to the non 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ectPr>
          <w:pgSz w:w="11900" w:h="16838" w:orient="portrait"/>
          <w:cols w:equalWidth="0" w:num="1">
            <w:col w:w="10380"/>
          </w:cols>
          <w:pgMar w:left="740" w:top="263" w:right="779" w:bottom="1440" w:gutter="0" w:footer="0" w:header="0"/>
        </w:sectPr>
      </w:pPr>
    </w:p>
    <w:bookmarkStart w:id="163" w:name="page164"/>
    <w:bookmarkEnd w:id="163"/>
    <w:p>
      <w:pPr>
        <w:ind w:left="4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1">
                      <a:extLst>
                        <a:ext uri="{28A0092B-C50C-407E-A947-70E740481C1C}"/>
                      </a:extLst>
                    </a:blip>
                    <a:srcRect/>
                    <a:stretch>
                      <a:fillRect/>
                    </a:stretch>
                  </pic:blipFill>
                  <pic:spPr bwMode="auto">
                    <a:xfrm>
                      <a:off x="0" y="0"/>
                      <a:ext cx="7181850" cy="36830"/>
                    </a:xfrm>
                    <a:prstGeom prst="rect">
                      <a:avLst/>
                    </a:prstGeom>
                    <a:noFill/>
                  </pic:spPr>
                </pic:pic>
              </a:graphicData>
            </a:graphic>
          </wp:anchor>
        </w:drawing>
        <w:t xml:space="preserve">Section 10.11 </w:t>
      </w:r>
      <w:r>
        <w:rPr>
          <w:rFonts w:ascii="Times New Roman" w:cs="Times New Roman" w:eastAsia="Times New Roman" w:hAnsi="Times New Roman"/>
          <w:sz w:val="17"/>
          <w:szCs w:val="17"/>
          <w:u w:val="single" w:color="auto"/>
          <w:color w:val="auto"/>
        </w:rPr>
        <w:t>No Adverse Interpretation of Other Agreements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100" w:firstLine="416"/>
        <w:spacing w:after="0" w:line="279" w:lineRule="auto"/>
        <w:rPr>
          <w:sz w:val="20"/>
          <w:szCs w:val="20"/>
          <w:color w:val="auto"/>
        </w:rPr>
      </w:pPr>
      <w:r>
        <w:rPr>
          <w:rFonts w:ascii="Times New Roman" w:cs="Times New Roman" w:eastAsia="Times New Roman" w:hAnsi="Times New Roman"/>
          <w:sz w:val="17"/>
          <w:szCs w:val="17"/>
          <w:color w:val="auto"/>
        </w:rPr>
        <w:t>This Indenture may not be used to interpret another indenture, loan or debt agreement of the Company or a Subsidiary of the Company. Any such indenture, loan or debt agreement may not be used to interpret this Indenture.</w:t>
      </w:r>
    </w:p>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10.12 </w:t>
      </w:r>
      <w:r>
        <w:rPr>
          <w:rFonts w:ascii="Times New Roman" w:cs="Times New Roman" w:eastAsia="Times New Roman" w:hAnsi="Times New Roman"/>
          <w:sz w:val="17"/>
          <w:szCs w:val="17"/>
          <w:u w:val="single" w:color="auto"/>
          <w:color w:val="auto"/>
        </w:rPr>
        <w:t>Successors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200" w:firstLine="416"/>
        <w:spacing w:after="0" w:line="279" w:lineRule="auto"/>
        <w:rPr>
          <w:sz w:val="20"/>
          <w:szCs w:val="20"/>
          <w:color w:val="auto"/>
        </w:rPr>
      </w:pPr>
      <w:r>
        <w:rPr>
          <w:rFonts w:ascii="Times New Roman" w:cs="Times New Roman" w:eastAsia="Times New Roman" w:hAnsi="Times New Roman"/>
          <w:sz w:val="17"/>
          <w:szCs w:val="17"/>
          <w:color w:val="auto"/>
        </w:rPr>
        <w:t>All agreements of the Company in this Indenture and the Securities shall bind its successor. All agreements of the Trustee in this Indenture shall bind its successor.</w:t>
      </w:r>
    </w:p>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10.13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140" w:firstLine="416"/>
        <w:spacing w:after="0" w:line="279" w:lineRule="auto"/>
        <w:rPr>
          <w:sz w:val="20"/>
          <w:szCs w:val="20"/>
          <w:color w:val="auto"/>
        </w:rPr>
      </w:pPr>
      <w:r>
        <w:rPr>
          <w:rFonts w:ascii="Times New Roman" w:cs="Times New Roman" w:eastAsia="Times New Roman" w:hAnsi="Times New Roman"/>
          <w:sz w:val="17"/>
          <w:szCs w:val="17"/>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10.14 </w:t>
      </w:r>
      <w:r>
        <w:rPr>
          <w:rFonts w:ascii="Times New Roman" w:cs="Times New Roman" w:eastAsia="Times New Roman" w:hAnsi="Times New Roman"/>
          <w:sz w:val="17"/>
          <w:szCs w:val="17"/>
          <w:u w:val="single" w:color="auto"/>
          <w:color w:val="auto"/>
        </w:rPr>
        <w:t>Table of Contents, Headings, Etc</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160" w:firstLine="416"/>
        <w:spacing w:after="0" w:line="279" w:lineRule="auto"/>
        <w:rPr>
          <w:sz w:val="20"/>
          <w:szCs w:val="20"/>
          <w:color w:val="auto"/>
        </w:rPr>
      </w:pPr>
      <w:r>
        <w:rPr>
          <w:rFonts w:ascii="Times New Roman" w:cs="Times New Roman" w:eastAsia="Times New Roman" w:hAnsi="Times New Roman"/>
          <w:sz w:val="17"/>
          <w:szCs w:val="17"/>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10.15 </w:t>
      </w:r>
      <w:r>
        <w:rPr>
          <w:rFonts w:ascii="Times New Roman" w:cs="Times New Roman" w:eastAsia="Times New Roman" w:hAnsi="Times New Roman"/>
          <w:sz w:val="17"/>
          <w:szCs w:val="17"/>
          <w:u w:val="single" w:color="auto"/>
          <w:color w:val="auto"/>
        </w:rPr>
        <w:t>Securities in a Foreign Currency</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firstLine="416"/>
        <w:spacing w:after="0" w:line="252" w:lineRule="auto"/>
        <w:rPr>
          <w:sz w:val="20"/>
          <w:szCs w:val="20"/>
          <w:color w:val="auto"/>
        </w:rPr>
      </w:pPr>
      <w:r>
        <w:rPr>
          <w:rFonts w:ascii="Times New Roman" w:cs="Times New Roman" w:eastAsia="Times New Roman" w:hAnsi="Times New Roman"/>
          <w:sz w:val="17"/>
          <w:szCs w:val="17"/>
          <w:color w:val="auto"/>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2.2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ectPr>
          <w:pgSz w:w="11900" w:h="16838" w:orient="portrait"/>
          <w:cols w:equalWidth="0" w:num="1">
            <w:col w:w="10400"/>
          </w:cols>
          <w:pgMar w:left="740" w:top="263" w:right="759" w:bottom="1440" w:gutter="0" w:footer="0" w:header="0"/>
        </w:sectPr>
      </w:pPr>
    </w:p>
    <w:bookmarkStart w:id="164" w:name="page165"/>
    <w:bookmarkEnd w:id="164"/>
    <w:p>
      <w:pPr>
        <w:ind w:right="60" w:firstLine="416"/>
        <w:spacing w:after="0" w:line="27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2">
                      <a:extLst>
                        <a:ext uri="{28A0092B-C50C-407E-A947-70E740481C1C}"/>
                      </a:extLst>
                    </a:blip>
                    <a:srcRect/>
                    <a:stretch>
                      <a:fillRect/>
                    </a:stretch>
                  </pic:blipFill>
                  <pic:spPr bwMode="auto">
                    <a:xfrm>
                      <a:off x="0" y="0"/>
                      <a:ext cx="7181850" cy="36830"/>
                    </a:xfrm>
                    <a:prstGeom prst="rect">
                      <a:avLst/>
                    </a:prstGeom>
                    <a:noFill/>
                  </pic:spPr>
                </pic:pic>
              </a:graphicData>
            </a:graphic>
          </wp:anchor>
        </w:drawing>
        <w:t>All decisions and determinations provided for in the preceding paragraph shall, in the absence of manifest error, to the extent permitted by law, be conclusive for all purposes and irrevocably binding upon the Trustee and all Holders.</w:t>
      </w:r>
    </w:p>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10.16 </w:t>
      </w:r>
      <w:r>
        <w:rPr>
          <w:rFonts w:ascii="Times New Roman" w:cs="Times New Roman" w:eastAsia="Times New Roman" w:hAnsi="Times New Roman"/>
          <w:sz w:val="17"/>
          <w:szCs w:val="17"/>
          <w:u w:val="single" w:color="auto"/>
          <w:color w:val="auto"/>
        </w:rPr>
        <w:t>Judgment Currency</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20" w:firstLine="416"/>
        <w:spacing w:after="0" w:line="252" w:lineRule="auto"/>
        <w:rPr>
          <w:sz w:val="20"/>
          <w:szCs w:val="20"/>
          <w:color w:val="auto"/>
        </w:rPr>
      </w:pPr>
      <w:r>
        <w:rPr>
          <w:rFonts w:ascii="Times New Roman" w:cs="Times New Roman" w:eastAsia="Times New Roman" w:hAnsi="Times New Roman"/>
          <w:sz w:val="17"/>
          <w:szCs w:val="17"/>
          <w:color w:val="auto"/>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Times New Roman" w:cs="Times New Roman" w:eastAsia="Times New Roman" w:hAnsi="Times New Roman"/>
          <w:sz w:val="17"/>
          <w:szCs w:val="17"/>
          <w:i w:val="1"/>
          <w:iCs w:val="1"/>
          <w:color w:val="auto"/>
        </w:rPr>
        <w:t>Required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Currency</w:t>
      </w:r>
      <w:r>
        <w:rPr>
          <w:rFonts w:ascii="Times New Roman" w:cs="Times New Roman" w:eastAsia="Times New Roman" w:hAnsi="Times New Roman"/>
          <w:sz w:val="17"/>
          <w:szCs w:val="17"/>
          <w:color w:val="auto"/>
        </w:rPr>
        <w:t>”) into a currency in which a judgment will be rendered (the “</w:t>
      </w:r>
      <w:r>
        <w:rPr>
          <w:rFonts w:ascii="Times New Roman" w:cs="Times New Roman" w:eastAsia="Times New Roman" w:hAnsi="Times New Roman"/>
          <w:sz w:val="17"/>
          <w:szCs w:val="17"/>
          <w:i w:val="1"/>
          <w:iCs w:val="1"/>
          <w:color w:val="auto"/>
        </w:rPr>
        <w:t>Judgment Currency</w:t>
      </w:r>
      <w:r>
        <w:rPr>
          <w:rFonts w:ascii="Times New Roman" w:cs="Times New Roman" w:eastAsia="Times New Roman" w:hAnsi="Times New Roman"/>
          <w:sz w:val="17"/>
          <w:szCs w:val="17"/>
          <w:color w:val="auto"/>
        </w:rPr>
        <w:t>”), the rate of exchange used shall be the rate at which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Times New Roman" w:cs="Times New Roman" w:eastAsia="Times New Roman" w:hAnsi="Times New Roman"/>
          <w:sz w:val="17"/>
          <w:szCs w:val="17"/>
          <w:i w:val="1"/>
          <w:iCs w:val="1"/>
          <w:color w:val="auto"/>
        </w:rPr>
        <w:t>New York Banking Day</w:t>
      </w:r>
      <w:r>
        <w:rPr>
          <w:rFonts w:ascii="Times New Roman" w:cs="Times New Roman" w:eastAsia="Times New Roman" w:hAnsi="Times New Roman"/>
          <w:sz w:val="17"/>
          <w:szCs w:val="17"/>
          <w:color w:val="auto"/>
        </w:rPr>
        <w:t>” means any day except a Saturday, Sunday or a legal holiday in The City of New York on which banking institutions are authorized or required by law, regulation or executive order to close.</w:t>
      </w:r>
    </w:p>
    <w:p>
      <w:pPr>
        <w:spacing w:after="0" w:line="1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10.17 </w:t>
      </w:r>
      <w:r>
        <w:rPr>
          <w:rFonts w:ascii="Times New Roman" w:cs="Times New Roman" w:eastAsia="Times New Roman" w:hAnsi="Times New Roman"/>
          <w:sz w:val="17"/>
          <w:szCs w:val="17"/>
          <w:u w:val="single" w:color="auto"/>
          <w:color w:val="auto"/>
        </w:rPr>
        <w:t>Force Majeure</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firstLine="416"/>
        <w:spacing w:after="0" w:line="257" w:lineRule="auto"/>
        <w:rPr>
          <w:sz w:val="20"/>
          <w:szCs w:val="20"/>
          <w:color w:val="auto"/>
        </w:rPr>
      </w:pPr>
      <w:r>
        <w:rPr>
          <w:rFonts w:ascii="Times New Roman" w:cs="Times New Roman" w:eastAsia="Times New Roman" w:hAnsi="Times New Roman"/>
          <w:sz w:val="17"/>
          <w:szCs w:val="17"/>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10.18 </w:t>
      </w:r>
      <w:r>
        <w:rPr>
          <w:rFonts w:ascii="Times New Roman" w:cs="Times New Roman" w:eastAsia="Times New Roman" w:hAnsi="Times New Roman"/>
          <w:sz w:val="17"/>
          <w:szCs w:val="17"/>
          <w:u w:val="single" w:color="auto"/>
          <w:color w:val="auto"/>
        </w:rPr>
        <w:t>U.S.A. Patriot Act</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100" w:firstLine="416"/>
        <w:spacing w:after="0" w:line="259" w:lineRule="auto"/>
        <w:rPr>
          <w:sz w:val="20"/>
          <w:szCs w:val="20"/>
          <w:color w:val="auto"/>
        </w:rPr>
      </w:pPr>
      <w:r>
        <w:rPr>
          <w:rFonts w:ascii="Times New Roman" w:cs="Times New Roman" w:eastAsia="Times New Roman" w:hAnsi="Times New Roman"/>
          <w:sz w:val="17"/>
          <w:szCs w:val="17"/>
          <w:color w:val="auto"/>
        </w:rPr>
        <w:t>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43</w:t>
      </w:r>
    </w:p>
    <w:p>
      <w:pPr>
        <w:sectPr>
          <w:pgSz w:w="11900" w:h="16838" w:orient="portrait"/>
          <w:cols w:equalWidth="0" w:num="1">
            <w:col w:w="10400"/>
          </w:cols>
          <w:pgMar w:left="740" w:top="263" w:right="759" w:bottom="1440" w:gutter="0" w:footer="0" w:header="0"/>
        </w:sectPr>
      </w:pPr>
    </w:p>
    <w:bookmarkStart w:id="165" w:name="page166"/>
    <w:bookmarkEnd w:id="165"/>
    <w:p>
      <w:pPr>
        <w:jc w:val="center"/>
        <w:ind w:right="-3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3">
                      <a:extLst>
                        <a:ext uri="{28A0092B-C50C-407E-A947-70E740481C1C}"/>
                      </a:extLst>
                    </a:blip>
                    <a:srcRect/>
                    <a:stretch>
                      <a:fillRect/>
                    </a:stretch>
                  </pic:blipFill>
                  <pic:spPr bwMode="auto">
                    <a:xfrm>
                      <a:off x="0" y="0"/>
                      <a:ext cx="7181850" cy="36830"/>
                    </a:xfrm>
                    <a:prstGeom prst="rect">
                      <a:avLst/>
                    </a:prstGeom>
                    <a:noFill/>
                  </pic:spPr>
                </pic:pic>
              </a:graphicData>
            </a:graphic>
          </wp:anchor>
        </w:drawing>
        <w:t>ARTICLE XI.</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SINKING FUNDS</w:t>
      </w:r>
    </w:p>
    <w:p>
      <w:pPr>
        <w:spacing w:after="0" w:line="1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11.1 </w:t>
      </w:r>
      <w:r>
        <w:rPr>
          <w:rFonts w:ascii="Times New Roman" w:cs="Times New Roman" w:eastAsia="Times New Roman" w:hAnsi="Times New Roman"/>
          <w:sz w:val="17"/>
          <w:szCs w:val="17"/>
          <w:u w:val="single" w:color="auto"/>
          <w:color w:val="auto"/>
        </w:rPr>
        <w:t>Applicability of Article</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100" w:firstLine="416"/>
        <w:spacing w:after="0" w:line="264" w:lineRule="auto"/>
        <w:rPr>
          <w:sz w:val="20"/>
          <w:szCs w:val="20"/>
          <w:color w:val="auto"/>
        </w:rPr>
      </w:pPr>
      <w:r>
        <w:rPr>
          <w:rFonts w:ascii="Times New Roman" w:cs="Times New Roman" w:eastAsia="Times New Roman" w:hAnsi="Times New Roman"/>
          <w:sz w:val="17"/>
          <w:szCs w:val="17"/>
          <w:color w:val="auto"/>
        </w:rPr>
        <w:t>The provisions of this Article shall be applicable to any sinking fund for the retirement of the Securities of a Series if so provided by the terms of such Securities pursuant to Section 2.2 and except as otherwise permitted or required by any form of Security of such Series issued pursuant to this Indenture.</w:t>
      </w:r>
    </w:p>
    <w:p>
      <w:pPr>
        <w:spacing w:after="0" w:line="166"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7"/>
          <w:szCs w:val="17"/>
          <w:color w:val="auto"/>
        </w:rPr>
        <w:t>The minimum amount of any sinking fund payment provided for by the terms of the Securities of any Series is herein referred to as a “</w:t>
      </w:r>
      <w:r>
        <w:rPr>
          <w:rFonts w:ascii="Times New Roman" w:cs="Times New Roman" w:eastAsia="Times New Roman" w:hAnsi="Times New Roman"/>
          <w:sz w:val="17"/>
          <w:szCs w:val="17"/>
          <w:i w:val="1"/>
          <w:iCs w:val="1"/>
          <w:color w:val="auto"/>
        </w:rPr>
        <w:t>mandatory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sinking fund payment</w:t>
      </w:r>
      <w:r>
        <w:rPr>
          <w:rFonts w:ascii="Times New Roman" w:cs="Times New Roman" w:eastAsia="Times New Roman" w:hAnsi="Times New Roman"/>
          <w:sz w:val="17"/>
          <w:szCs w:val="17"/>
          <w:color w:val="auto"/>
        </w:rPr>
        <w:t>” and any other amount provided for by the terms of Securities of such Series is herein referred to as an “</w:t>
      </w:r>
      <w:r>
        <w:rPr>
          <w:rFonts w:ascii="Times New Roman" w:cs="Times New Roman" w:eastAsia="Times New Roman" w:hAnsi="Times New Roman"/>
          <w:sz w:val="17"/>
          <w:szCs w:val="17"/>
          <w:i w:val="1"/>
          <w:iCs w:val="1"/>
          <w:color w:val="auto"/>
        </w:rPr>
        <w:t>optional sinking fund payment</w:t>
      </w:r>
      <w:r>
        <w:rPr>
          <w:rFonts w:ascii="Times New Roman" w:cs="Times New Roman" w:eastAsia="Times New Roman" w:hAnsi="Times New Roman"/>
          <w:sz w:val="17"/>
          <w:szCs w:val="17"/>
          <w:color w:val="auto"/>
        </w:rPr>
        <w:t>.” If provided for by the terms of Securities of any Series, the cash amount of any sinking fund payment may be subject to reduction as provided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Section 11.2. Each sinking fund payment shall be applied to the redemption of Securities of any Series as provided for by the terms of the Securities of such Series.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11.2 </w:t>
      </w:r>
      <w:r>
        <w:rPr>
          <w:rFonts w:ascii="Times New Roman" w:cs="Times New Roman" w:eastAsia="Times New Roman" w:hAnsi="Times New Roman"/>
          <w:sz w:val="17"/>
          <w:szCs w:val="17"/>
          <w:u w:val="single" w:color="auto"/>
          <w:color w:val="auto"/>
        </w:rPr>
        <w:t>Satisfaction of Sinking Fund Payments with Securities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firstLine="416"/>
        <w:spacing w:after="0" w:line="252" w:lineRule="auto"/>
        <w:rPr>
          <w:sz w:val="20"/>
          <w:szCs w:val="20"/>
          <w:color w:val="auto"/>
        </w:rPr>
      </w:pPr>
      <w:r>
        <w:rPr>
          <w:rFonts w:ascii="Times New Roman" w:cs="Times New Roman" w:eastAsia="Times New Roman" w:hAnsi="Times New Roman"/>
          <w:sz w:val="17"/>
          <w:szCs w:val="17"/>
          <w:color w:val="auto"/>
        </w:rPr>
        <w:t>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provided, however,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44</w:t>
      </w:r>
    </w:p>
    <w:p>
      <w:pPr>
        <w:sectPr>
          <w:pgSz w:w="11900" w:h="16838" w:orient="portrait"/>
          <w:cols w:equalWidth="0" w:num="1">
            <w:col w:w="10380"/>
          </w:cols>
          <w:pgMar w:left="740" w:top="263" w:right="779" w:bottom="1440" w:gutter="0" w:footer="0" w:header="0"/>
        </w:sectPr>
      </w:pPr>
    </w:p>
    <w:bookmarkStart w:id="166" w:name="page167"/>
    <w:bookmarkEnd w:id="166"/>
    <w:p>
      <w:pPr>
        <w:ind w:left="4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4">
                      <a:extLst>
                        <a:ext uri="{28A0092B-C50C-407E-A947-70E740481C1C}"/>
                      </a:extLst>
                    </a:blip>
                    <a:srcRect/>
                    <a:stretch>
                      <a:fillRect/>
                    </a:stretch>
                  </pic:blipFill>
                  <pic:spPr bwMode="auto">
                    <a:xfrm>
                      <a:off x="0" y="0"/>
                      <a:ext cx="7181850" cy="36830"/>
                    </a:xfrm>
                    <a:prstGeom prst="rect">
                      <a:avLst/>
                    </a:prstGeom>
                    <a:noFill/>
                  </pic:spPr>
                </pic:pic>
              </a:graphicData>
            </a:graphic>
          </wp:anchor>
        </w:drawing>
        <w:t xml:space="preserve">Section 11.3 </w:t>
      </w:r>
      <w:r>
        <w:rPr>
          <w:rFonts w:ascii="Times New Roman" w:cs="Times New Roman" w:eastAsia="Times New Roman" w:hAnsi="Times New Roman"/>
          <w:sz w:val="17"/>
          <w:szCs w:val="17"/>
          <w:u w:val="single" w:color="auto"/>
          <w:color w:val="auto"/>
        </w:rPr>
        <w:t>Redemption of Securities for Sinking Fund</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firstLine="416"/>
        <w:spacing w:after="0" w:line="253" w:lineRule="auto"/>
        <w:rPr>
          <w:sz w:val="20"/>
          <w:szCs w:val="20"/>
          <w:color w:val="auto"/>
        </w:rPr>
      </w:pPr>
      <w:r>
        <w:rPr>
          <w:rFonts w:ascii="Times New Roman" w:cs="Times New Roman" w:eastAsia="Times New Roman" w:hAnsi="Times New Roman"/>
          <w:sz w:val="17"/>
          <w:szCs w:val="17"/>
          <w:color w:val="auto"/>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Securities to be redeemed upon such sinking fund payment date will be selected in the manner specified in Section 3.2 and the Company shall send or cause to be sent a notice of the redemption thereof to be given in the name of and at the expense of the Company in the manner provided in and in accordance with Section 3.3. Such notice having been duly given, the redemption of such Securities shall be made upon the terms and in the manner stated in Sections 3.4, 3.5 and 3.6.</w:t>
      </w:r>
    </w:p>
    <w:p>
      <w:pPr>
        <w:spacing w:after="0" w:line="1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45</w:t>
      </w:r>
    </w:p>
    <w:p>
      <w:pPr>
        <w:sectPr>
          <w:pgSz w:w="11900" w:h="16838" w:orient="portrait"/>
          <w:cols w:equalWidth="0" w:num="1">
            <w:col w:w="10340"/>
          </w:cols>
          <w:pgMar w:left="740" w:top="263" w:right="81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5">
                      <a:extLst>
                        <a:ext uri="{28A0092B-C50C-407E-A947-70E740481C1C}"/>
                      </a:extLst>
                    </a:blip>
                    <a:srcRect/>
                    <a:stretch>
                      <a:fillRect/>
                    </a:stretch>
                  </pic:blipFill>
                  <pic:spPr bwMode="auto">
                    <a:xfrm>
                      <a:off x="0" y="0"/>
                      <a:ext cx="7181850" cy="36830"/>
                    </a:xfrm>
                    <a:prstGeom prst="rect">
                      <a:avLst/>
                    </a:prstGeom>
                    <a:noFill/>
                  </pic:spPr>
                </pic:pic>
              </a:graphicData>
            </a:graphic>
          </wp:anchor>
        </w:drawing>
        <w:t>IN WITNESS WHEREOF, the parties hereto have caused this Indenture to be duly executed as of the day and year first above written.</w:t>
      </w:r>
    </w:p>
    <w:p>
      <w:pPr>
        <w:spacing w:after="0" w:line="24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color w:val="auto"/>
        </w:rPr>
        <w:t>T2 BIOSYSTEMS, INC.</w:t>
      </w:r>
    </w:p>
    <w:p>
      <w:pPr>
        <w:spacing w:after="0" w:line="21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4052570</wp:posOffset>
            </wp:positionH>
            <wp:positionV relativeFrom="paragraph">
              <wp:posOffset>15875</wp:posOffset>
            </wp:positionV>
            <wp:extent cx="228854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6">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4052570</wp:posOffset>
            </wp:positionH>
            <wp:positionV relativeFrom="paragraph">
              <wp:posOffset>15875</wp:posOffset>
            </wp:positionV>
            <wp:extent cx="228854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7">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4052570</wp:posOffset>
            </wp:positionH>
            <wp:positionV relativeFrom="paragraph">
              <wp:posOffset>15875</wp:posOffset>
            </wp:positionV>
            <wp:extent cx="228854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8">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1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color w:val="auto"/>
        </w:rPr>
        <w:t>[         ],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3736975</wp:posOffset>
            </wp:positionH>
            <wp:positionV relativeFrom="paragraph">
              <wp:posOffset>-8255</wp:posOffset>
            </wp:positionV>
            <wp:extent cx="32321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9">
                      <a:extLst>
                        <a:ext uri="{28A0092B-C50C-407E-A947-70E740481C1C}"/>
                      </a:extLst>
                    </a:blip>
                    <a:srcRect/>
                    <a:stretch>
                      <a:fillRect/>
                    </a:stretch>
                  </pic:blipFill>
                  <pic:spPr bwMode="auto">
                    <a:xfrm>
                      <a:off x="0" y="0"/>
                      <a:ext cx="323215" cy="8255"/>
                    </a:xfrm>
                    <a:prstGeom prst="rect">
                      <a:avLst/>
                    </a:prstGeom>
                    <a:noFill/>
                  </pic:spPr>
                </pic:pic>
              </a:graphicData>
            </a:graphic>
          </wp:anchor>
        </w:drawing>
      </w:r>
    </w:p>
    <w:p>
      <w:pPr>
        <w:spacing w:after="0" w:line="19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4052570</wp:posOffset>
            </wp:positionH>
            <wp:positionV relativeFrom="paragraph">
              <wp:posOffset>15875</wp:posOffset>
            </wp:positionV>
            <wp:extent cx="228854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4052570</wp:posOffset>
            </wp:positionH>
            <wp:positionV relativeFrom="paragraph">
              <wp:posOffset>15875</wp:posOffset>
            </wp:positionV>
            <wp:extent cx="228854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1">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4052570</wp:posOffset>
            </wp:positionH>
            <wp:positionV relativeFrom="paragraph">
              <wp:posOffset>15875</wp:posOffset>
            </wp:positionV>
            <wp:extent cx="228854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ectPr>
          <w:pgSz w:w="11900" w:h="16838" w:orient="portrait"/>
          <w:cols w:equalWidth="0" w:num="1">
            <w:col w:w="9299"/>
          </w:cols>
          <w:pgMar w:left="1160" w:top="263" w:right="1440" w:bottom="1440" w:gutter="0" w:footer="0" w:header="0"/>
        </w:sectPr>
      </w:pPr>
    </w:p>
    <w:bookmarkStart w:id="168" w:name="page169"/>
    <w:bookmarkEnd w:id="168"/>
    <w:p>
      <w:pPr>
        <w:ind w:left="9600"/>
        <w:spacing w:after="0"/>
        <w:rPr>
          <w:sz w:val="20"/>
          <w:szCs w:val="20"/>
          <w:color w:val="auto"/>
        </w:rPr>
      </w:pPr>
      <w:r>
        <w:rPr>
          <w:rFonts w:ascii="Times New Roman" w:cs="Times New Roman" w:eastAsia="Times New Roman" w:hAnsi="Times New Roman"/>
          <w:sz w:val="17"/>
          <w:szCs w:val="17"/>
          <w:b w:val="1"/>
          <w:bCs w:val="1"/>
          <w:color w:val="auto"/>
        </w:rPr>
        <w:t>Exhibit 5.1</w:t>
      </w:r>
    </w:p>
    <w:p>
      <w:pPr>
        <w:sectPr>
          <w:pgSz w:w="11900" w:h="16838" w:orient="portrait"/>
          <w:cols w:equalWidth="0" w:num="1">
            <w:col w:w="10400"/>
          </w:cols>
          <w:pgMar w:left="740" w:top="119"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July 19,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-808355</wp:posOffset>
            </wp:positionV>
            <wp:extent cx="1972945" cy="1778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3">
                      <a:extLst>
                        <a:ext uri="{28A0092B-C50C-407E-A947-70E740481C1C}"/>
                      </a:extLst>
                    </a:blip>
                    <a:srcRect/>
                    <a:stretch>
                      <a:fillRect/>
                    </a:stretch>
                  </pic:blipFill>
                  <pic:spPr bwMode="auto">
                    <a:xfrm>
                      <a:off x="0" y="0"/>
                      <a:ext cx="1972945" cy="177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T2 Biosystems, Inc.</w:t>
      </w:r>
    </w:p>
    <w:p>
      <w:pPr>
        <w:spacing w:after="0" w:line="24" w:lineRule="exact"/>
        <w:rPr>
          <w:sz w:val="20"/>
          <w:szCs w:val="20"/>
          <w:color w:val="auto"/>
        </w:rPr>
      </w:pPr>
    </w:p>
    <w:p>
      <w:pPr>
        <w:ind w:right="3700" w:firstLine="8"/>
        <w:spacing w:after="0" w:line="260" w:lineRule="auto"/>
        <w:tabs>
          <w:tab w:leader="none" w:pos="297"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Hartwell Avenue Lexington, Massachusetts 02421</w:t>
      </w:r>
    </w:p>
    <w:p>
      <w:pPr>
        <w:spacing w:after="0" w:line="32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color w:val="auto"/>
        </w:rPr>
        <w:t>Re:</w:t>
      </w:r>
      <w:r>
        <w:rPr>
          <w:sz w:val="20"/>
          <w:szCs w:val="20"/>
          <w:color w:val="auto"/>
        </w:rPr>
        <w:tab/>
      </w:r>
      <w:r>
        <w:rPr>
          <w:rFonts w:ascii="Times New Roman" w:cs="Times New Roman" w:eastAsia="Times New Roman" w:hAnsi="Times New Roman"/>
          <w:sz w:val="16"/>
          <w:szCs w:val="16"/>
          <w:u w:val="single" w:color="auto"/>
          <w:color w:val="auto"/>
        </w:rPr>
        <w:t>Registration Statement on Form S-3</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addressee set forth above:</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200 Clarendon Street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Boston, Massachusetts 02116</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Tel: +1.617.948.6000 Fax: +1.617.948.6001</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www.lw.com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FIRM / AFFILIATE OFFICES</w:t>
      </w:r>
    </w:p>
    <w:p>
      <w:pPr>
        <w:spacing w:after="0"/>
        <w:tabs>
          <w:tab w:leader="none" w:pos="1020" w:val="left"/>
        </w:tabs>
        <w:rPr>
          <w:sz w:val="20"/>
          <w:szCs w:val="20"/>
          <w:color w:val="auto"/>
        </w:rPr>
      </w:pPr>
      <w:r>
        <w:rPr>
          <w:rFonts w:ascii="Times New Roman" w:cs="Times New Roman" w:eastAsia="Times New Roman" w:hAnsi="Times New Roman"/>
          <w:sz w:val="14"/>
          <w:szCs w:val="14"/>
          <w:color w:val="auto"/>
        </w:rPr>
        <w:t>Austin</w:t>
      </w:r>
      <w:r>
        <w:rPr>
          <w:sz w:val="20"/>
          <w:szCs w:val="20"/>
          <w:color w:val="auto"/>
        </w:rPr>
        <w:tab/>
      </w:r>
      <w:r>
        <w:rPr>
          <w:rFonts w:ascii="Times New Roman" w:cs="Times New Roman" w:eastAsia="Times New Roman" w:hAnsi="Times New Roman"/>
          <w:sz w:val="14"/>
          <w:szCs w:val="14"/>
          <w:color w:val="auto"/>
        </w:rPr>
        <w:t>Milan</w:t>
      </w:r>
    </w:p>
    <w:p>
      <w:pPr>
        <w:spacing w:after="0" w:line="1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color w:val="auto"/>
        </w:rPr>
        <w:t>Beijing</w:t>
      </w:r>
      <w:r>
        <w:rPr>
          <w:sz w:val="20"/>
          <w:szCs w:val="20"/>
          <w:color w:val="auto"/>
        </w:rPr>
        <w:tab/>
      </w:r>
      <w:r>
        <w:rPr>
          <w:rFonts w:ascii="Times New Roman" w:cs="Times New Roman" w:eastAsia="Times New Roman" w:hAnsi="Times New Roman"/>
          <w:sz w:val="14"/>
          <w:szCs w:val="14"/>
          <w:color w:val="auto"/>
        </w:rPr>
        <w:t>Munich</w:t>
      </w:r>
    </w:p>
    <w:p>
      <w:pPr>
        <w:spacing w:after="0" w:line="3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color w:val="auto"/>
        </w:rPr>
        <w:t>Boston</w:t>
      </w:r>
      <w:r>
        <w:rPr>
          <w:sz w:val="20"/>
          <w:szCs w:val="20"/>
          <w:color w:val="auto"/>
        </w:rPr>
        <w:tab/>
      </w:r>
      <w:r>
        <w:rPr>
          <w:rFonts w:ascii="Times New Roman" w:cs="Times New Roman" w:eastAsia="Times New Roman" w:hAnsi="Times New Roman"/>
          <w:sz w:val="14"/>
          <w:szCs w:val="14"/>
          <w:color w:val="auto"/>
        </w:rPr>
        <w:t>New York</w:t>
      </w:r>
    </w:p>
    <w:p>
      <w:pPr>
        <w:spacing w:after="0" w:line="3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color w:val="auto"/>
        </w:rPr>
        <w:t>Brussels</w:t>
      </w:r>
      <w:r>
        <w:rPr>
          <w:sz w:val="20"/>
          <w:szCs w:val="20"/>
          <w:color w:val="auto"/>
        </w:rPr>
        <w:tab/>
      </w:r>
      <w:r>
        <w:rPr>
          <w:rFonts w:ascii="Times New Roman" w:cs="Times New Roman" w:eastAsia="Times New Roman" w:hAnsi="Times New Roman"/>
          <w:sz w:val="14"/>
          <w:szCs w:val="14"/>
          <w:color w:val="auto"/>
        </w:rPr>
        <w:t>Orange County</w:t>
      </w:r>
    </w:p>
    <w:p>
      <w:pPr>
        <w:spacing w:after="0" w:line="3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color w:val="auto"/>
        </w:rPr>
        <w:t>Century City</w:t>
      </w:r>
      <w:r>
        <w:rPr>
          <w:sz w:val="20"/>
          <w:szCs w:val="20"/>
          <w:color w:val="auto"/>
        </w:rPr>
        <w:tab/>
      </w:r>
      <w:r>
        <w:rPr>
          <w:rFonts w:ascii="Times New Roman" w:cs="Times New Roman" w:eastAsia="Times New Roman" w:hAnsi="Times New Roman"/>
          <w:sz w:val="14"/>
          <w:szCs w:val="14"/>
          <w:color w:val="auto"/>
        </w:rPr>
        <w:t>Paris</w:t>
      </w:r>
    </w:p>
    <w:p>
      <w:pPr>
        <w:spacing w:after="0" w:line="3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color w:val="auto"/>
        </w:rPr>
        <w:t>Chicago</w:t>
      </w:r>
      <w:r>
        <w:rPr>
          <w:sz w:val="20"/>
          <w:szCs w:val="20"/>
          <w:color w:val="auto"/>
        </w:rPr>
        <w:tab/>
      </w:r>
      <w:r>
        <w:rPr>
          <w:rFonts w:ascii="Times New Roman" w:cs="Times New Roman" w:eastAsia="Times New Roman" w:hAnsi="Times New Roman"/>
          <w:sz w:val="14"/>
          <w:szCs w:val="14"/>
          <w:color w:val="auto"/>
        </w:rPr>
        <w:t>Riyadh</w:t>
      </w:r>
    </w:p>
    <w:p>
      <w:pPr>
        <w:spacing w:after="0" w:line="4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color w:val="auto"/>
        </w:rPr>
        <w:t>Dubai</w:t>
      </w:r>
      <w:r>
        <w:rPr>
          <w:sz w:val="20"/>
          <w:szCs w:val="20"/>
          <w:color w:val="auto"/>
        </w:rPr>
        <w:tab/>
      </w:r>
      <w:r>
        <w:rPr>
          <w:rFonts w:ascii="Times New Roman" w:cs="Times New Roman" w:eastAsia="Times New Roman" w:hAnsi="Times New Roman"/>
          <w:sz w:val="14"/>
          <w:szCs w:val="14"/>
          <w:color w:val="auto"/>
        </w:rPr>
        <w:t>San Diego</w:t>
      </w:r>
    </w:p>
    <w:p>
      <w:pPr>
        <w:spacing w:after="0" w:line="4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color w:val="auto"/>
        </w:rPr>
        <w:t>Düsseldorf</w:t>
      </w:r>
      <w:r>
        <w:rPr>
          <w:sz w:val="20"/>
          <w:szCs w:val="20"/>
          <w:color w:val="auto"/>
        </w:rPr>
        <w:tab/>
      </w:r>
      <w:r>
        <w:rPr>
          <w:rFonts w:ascii="Times New Roman" w:cs="Times New Roman" w:eastAsia="Times New Roman" w:hAnsi="Times New Roman"/>
          <w:sz w:val="14"/>
          <w:szCs w:val="14"/>
          <w:color w:val="auto"/>
        </w:rPr>
        <w:t>San Francisco</w:t>
      </w:r>
    </w:p>
    <w:p>
      <w:pPr>
        <w:spacing w:after="0" w:line="3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color w:val="auto"/>
        </w:rPr>
        <w:t>Frankfurt</w:t>
      </w:r>
      <w:r>
        <w:rPr>
          <w:sz w:val="20"/>
          <w:szCs w:val="20"/>
          <w:color w:val="auto"/>
        </w:rPr>
        <w:tab/>
      </w:r>
      <w:r>
        <w:rPr>
          <w:rFonts w:ascii="Times New Roman" w:cs="Times New Roman" w:eastAsia="Times New Roman" w:hAnsi="Times New Roman"/>
          <w:sz w:val="14"/>
          <w:szCs w:val="14"/>
          <w:color w:val="auto"/>
        </w:rPr>
        <w:t>Seoul</w:t>
      </w:r>
    </w:p>
    <w:p>
      <w:pPr>
        <w:spacing w:after="0" w:line="3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color w:val="auto"/>
        </w:rPr>
        <w:t>Hamburg</w:t>
      </w:r>
      <w:r>
        <w:rPr>
          <w:sz w:val="20"/>
          <w:szCs w:val="20"/>
          <w:color w:val="auto"/>
        </w:rPr>
        <w:tab/>
      </w:r>
      <w:r>
        <w:rPr>
          <w:rFonts w:ascii="Times New Roman" w:cs="Times New Roman" w:eastAsia="Times New Roman" w:hAnsi="Times New Roman"/>
          <w:sz w:val="14"/>
          <w:szCs w:val="14"/>
          <w:color w:val="auto"/>
        </w:rPr>
        <w:t>Silicon Valley</w:t>
      </w:r>
    </w:p>
    <w:p>
      <w:pPr>
        <w:spacing w:after="0" w:line="3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color w:val="auto"/>
        </w:rPr>
        <w:t>Hong Kong</w:t>
      </w:r>
      <w:r>
        <w:rPr>
          <w:sz w:val="20"/>
          <w:szCs w:val="20"/>
          <w:color w:val="auto"/>
        </w:rPr>
        <w:tab/>
      </w:r>
      <w:r>
        <w:rPr>
          <w:rFonts w:ascii="Times New Roman" w:cs="Times New Roman" w:eastAsia="Times New Roman" w:hAnsi="Times New Roman"/>
          <w:sz w:val="12"/>
          <w:szCs w:val="12"/>
          <w:color w:val="auto"/>
        </w:rPr>
        <w:t>Singapore</w:t>
      </w:r>
    </w:p>
    <w:p>
      <w:pPr>
        <w:spacing w:after="0" w:line="3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color w:val="auto"/>
        </w:rPr>
        <w:t>Houston</w:t>
      </w:r>
      <w:r>
        <w:rPr>
          <w:sz w:val="20"/>
          <w:szCs w:val="20"/>
          <w:color w:val="auto"/>
        </w:rPr>
        <w:tab/>
      </w:r>
      <w:r>
        <w:rPr>
          <w:rFonts w:ascii="Times New Roman" w:cs="Times New Roman" w:eastAsia="Times New Roman" w:hAnsi="Times New Roman"/>
          <w:sz w:val="14"/>
          <w:szCs w:val="14"/>
          <w:color w:val="auto"/>
        </w:rPr>
        <w:t>Tel Aviv</w:t>
      </w:r>
    </w:p>
    <w:p>
      <w:pPr>
        <w:spacing w:after="0" w:line="236" w:lineRule="auto"/>
        <w:tabs>
          <w:tab w:leader="none" w:pos="1020" w:val="left"/>
        </w:tabs>
        <w:rPr>
          <w:sz w:val="20"/>
          <w:szCs w:val="20"/>
          <w:color w:val="auto"/>
        </w:rPr>
      </w:pPr>
      <w:r>
        <w:rPr>
          <w:rFonts w:ascii="Times New Roman" w:cs="Times New Roman" w:eastAsia="Times New Roman" w:hAnsi="Times New Roman"/>
          <w:sz w:val="14"/>
          <w:szCs w:val="14"/>
          <w:color w:val="auto"/>
        </w:rPr>
        <w:t>London</w:t>
      </w:r>
      <w:r>
        <w:rPr>
          <w:sz w:val="20"/>
          <w:szCs w:val="20"/>
          <w:color w:val="auto"/>
        </w:rPr>
        <w:tab/>
      </w:r>
      <w:r>
        <w:rPr>
          <w:rFonts w:ascii="Times New Roman" w:cs="Times New Roman" w:eastAsia="Times New Roman" w:hAnsi="Times New Roman"/>
          <w:sz w:val="14"/>
          <w:szCs w:val="14"/>
          <w:color w:val="auto"/>
        </w:rPr>
        <w:t>Tokyo</w:t>
      </w:r>
    </w:p>
    <w:p>
      <w:pPr>
        <w:spacing w:after="0"/>
        <w:tabs>
          <w:tab w:leader="none" w:pos="1020" w:val="left"/>
        </w:tabs>
        <w:rPr>
          <w:sz w:val="20"/>
          <w:szCs w:val="20"/>
          <w:color w:val="auto"/>
        </w:rPr>
      </w:pPr>
      <w:r>
        <w:rPr>
          <w:rFonts w:ascii="Times New Roman" w:cs="Times New Roman" w:eastAsia="Times New Roman" w:hAnsi="Times New Roman"/>
          <w:sz w:val="14"/>
          <w:szCs w:val="14"/>
          <w:color w:val="auto"/>
        </w:rPr>
        <w:t>Los Angeles</w:t>
      </w:r>
      <w:r>
        <w:rPr>
          <w:sz w:val="20"/>
          <w:szCs w:val="20"/>
          <w:color w:val="auto"/>
        </w:rPr>
        <w:tab/>
      </w:r>
      <w:r>
        <w:rPr>
          <w:rFonts w:ascii="Times New Roman" w:cs="Times New Roman" w:eastAsia="Times New Roman" w:hAnsi="Times New Roman"/>
          <w:sz w:val="12"/>
          <w:szCs w:val="12"/>
          <w:color w:val="auto"/>
        </w:rPr>
        <w:t>Washington, D.C.</w:t>
      </w:r>
    </w:p>
    <w:p>
      <w:pPr>
        <w:spacing w:after="0"/>
        <w:rPr>
          <w:sz w:val="20"/>
          <w:szCs w:val="20"/>
          <w:color w:val="auto"/>
        </w:rPr>
      </w:pPr>
      <w:r>
        <w:rPr>
          <w:rFonts w:ascii="Times New Roman" w:cs="Times New Roman" w:eastAsia="Times New Roman" w:hAnsi="Times New Roman"/>
          <w:sz w:val="14"/>
          <w:szCs w:val="14"/>
          <w:color w:val="auto"/>
        </w:rPr>
        <w:t>Madrid</w:t>
      </w:r>
    </w:p>
    <w:p>
      <w:pPr>
        <w:spacing w:after="0" w:line="1039" w:lineRule="exact"/>
        <w:rPr>
          <w:sz w:val="20"/>
          <w:szCs w:val="20"/>
          <w:color w:val="auto"/>
        </w:rPr>
      </w:pPr>
    </w:p>
    <w:p>
      <w:pPr>
        <w:sectPr>
          <w:pgSz w:w="11900" w:h="16838" w:orient="portrait"/>
          <w:cols w:equalWidth="0" w:num="2">
            <w:col w:w="5940" w:space="720"/>
            <w:col w:w="3740"/>
          </w:cols>
          <w:pgMar w:left="740" w:top="119" w:right="759" w:bottom="1440" w:gutter="0" w:footer="0" w:header="0"/>
          <w:type w:val="continuous"/>
        </w:sectPr>
      </w:pPr>
    </w:p>
    <w:p>
      <w:pPr>
        <w:spacing w:after="0" w:line="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We have acted as special counsel to T2 Biosystems,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in connection with its filing on the date hereof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the Securities and Exchange Commission (the “</w:t>
      </w:r>
      <w:r>
        <w:rPr>
          <w:rFonts w:ascii="Times New Roman" w:cs="Times New Roman" w:eastAsia="Times New Roman" w:hAnsi="Times New Roman"/>
          <w:sz w:val="17"/>
          <w:szCs w:val="17"/>
          <w:b w:val="1"/>
          <w:bCs w:val="1"/>
          <w:i w:val="1"/>
          <w:iCs w:val="1"/>
          <w:color w:val="auto"/>
        </w:rPr>
        <w:t>Commission</w:t>
      </w:r>
      <w:r>
        <w:rPr>
          <w:rFonts w:ascii="Times New Roman" w:cs="Times New Roman" w:eastAsia="Times New Roman" w:hAnsi="Times New Roman"/>
          <w:sz w:val="17"/>
          <w:szCs w:val="17"/>
          <w:color w:val="auto"/>
        </w:rPr>
        <w:t>”) of a registration statement on Form S-3 (the “</w:t>
      </w:r>
      <w:r>
        <w:rPr>
          <w:rFonts w:ascii="Times New Roman" w:cs="Times New Roman" w:eastAsia="Times New Roman" w:hAnsi="Times New Roman"/>
          <w:sz w:val="17"/>
          <w:szCs w:val="17"/>
          <w:b w:val="1"/>
          <w:bCs w:val="1"/>
          <w:i w:val="1"/>
          <w:iCs w:val="1"/>
          <w:color w:val="auto"/>
        </w:rPr>
        <w:t>Registration Statement</w:t>
      </w:r>
      <w:r>
        <w:rPr>
          <w:rFonts w:ascii="Times New Roman" w:cs="Times New Roman" w:eastAsia="Times New Roman" w:hAnsi="Times New Roman"/>
          <w:sz w:val="17"/>
          <w:szCs w:val="17"/>
          <w:color w:val="auto"/>
        </w:rPr>
        <w:t>”), including 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base prospectus (the “</w:t>
      </w:r>
      <w:r>
        <w:rPr>
          <w:rFonts w:ascii="Times New Roman" w:cs="Times New Roman" w:eastAsia="Times New Roman" w:hAnsi="Times New Roman"/>
          <w:sz w:val="17"/>
          <w:szCs w:val="17"/>
          <w:b w:val="1"/>
          <w:bCs w:val="1"/>
          <w:i w:val="1"/>
          <w:iCs w:val="1"/>
          <w:color w:val="auto"/>
        </w:rPr>
        <w:t>Base Prospectus</w:t>
      </w:r>
      <w:r>
        <w:rPr>
          <w:rFonts w:ascii="Times New Roman" w:cs="Times New Roman" w:eastAsia="Times New Roman" w:hAnsi="Times New Roman"/>
          <w:sz w:val="17"/>
          <w:szCs w:val="17"/>
          <w:color w:val="auto"/>
        </w:rPr>
        <w:t>”), which provides that it will be supplemented by one or more prospectus supplements (each such prospectus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supplement, together with the Base Prospectus, a “</w:t>
      </w:r>
      <w:r>
        <w:rPr>
          <w:rFonts w:ascii="Times New Roman" w:cs="Times New Roman" w:eastAsia="Times New Roman" w:hAnsi="Times New Roman"/>
          <w:sz w:val="16"/>
          <w:szCs w:val="16"/>
          <w:b w:val="1"/>
          <w:bCs w:val="1"/>
          <w:i w:val="1"/>
          <w:iCs w:val="1"/>
          <w:color w:val="auto"/>
        </w:rPr>
        <w:t>Prospectus</w:t>
      </w:r>
      <w:r>
        <w:rPr>
          <w:rFonts w:ascii="Times New Roman" w:cs="Times New Roman" w:eastAsia="Times New Roman" w:hAnsi="Times New Roman"/>
          <w:sz w:val="16"/>
          <w:szCs w:val="16"/>
          <w:color w:val="auto"/>
        </w:rPr>
        <w:t>”), under the Securities Act of 1933, as amended (the “</w:t>
      </w:r>
      <w:r>
        <w:rPr>
          <w:rFonts w:ascii="Times New Roman" w:cs="Times New Roman" w:eastAsia="Times New Roman" w:hAnsi="Times New Roman"/>
          <w:sz w:val="16"/>
          <w:szCs w:val="16"/>
          <w:b w:val="1"/>
          <w:bCs w:val="1"/>
          <w:i w:val="1"/>
          <w:iCs w:val="1"/>
          <w:color w:val="auto"/>
        </w:rPr>
        <w:t>Act</w:t>
      </w:r>
      <w:r>
        <w:rPr>
          <w:rFonts w:ascii="Times New Roman" w:cs="Times New Roman" w:eastAsia="Times New Roman" w:hAnsi="Times New Roman"/>
          <w:sz w:val="16"/>
          <w:szCs w:val="16"/>
          <w:color w:val="auto"/>
        </w:rPr>
        <w:t>”), relating to the registration for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 and sale by the Company of up to $150,000,000 offering amount of (i) shares of the Company’s common stock, par value $0.001 per share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(ii) shares of one or more series of the Company’s preferred stock, par value $0.001 per share (“</w:t>
      </w:r>
      <w:r>
        <w:rPr>
          <w:rFonts w:ascii="Times New Roman" w:cs="Times New Roman" w:eastAsia="Times New Roman" w:hAnsi="Times New Roman"/>
          <w:sz w:val="17"/>
          <w:szCs w:val="17"/>
          <w:b w:val="1"/>
          <w:bCs w:val="1"/>
          <w:i w:val="1"/>
          <w:iCs w:val="1"/>
          <w:color w:val="auto"/>
        </w:rPr>
        <w:t>Preferred Stock</w:t>
      </w:r>
      <w:r>
        <w:rPr>
          <w:rFonts w:ascii="Times New Roman" w:cs="Times New Roman" w:eastAsia="Times New Roman" w:hAnsi="Times New Roman"/>
          <w:sz w:val="17"/>
          <w:szCs w:val="17"/>
          <w:color w:val="auto"/>
        </w:rPr>
        <w:t>”), (iii) one or more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series of the Company’s debt securities (collectively, “</w:t>
      </w:r>
      <w:r>
        <w:rPr>
          <w:rFonts w:ascii="Times New Roman" w:cs="Times New Roman" w:eastAsia="Times New Roman" w:hAnsi="Times New Roman"/>
          <w:sz w:val="17"/>
          <w:szCs w:val="17"/>
          <w:b w:val="1"/>
          <w:bCs w:val="1"/>
          <w:i w:val="1"/>
          <w:iCs w:val="1"/>
          <w:color w:val="auto"/>
        </w:rPr>
        <w:t>Debt Securities</w:t>
      </w:r>
      <w:r>
        <w:rPr>
          <w:rFonts w:ascii="Times New Roman" w:cs="Times New Roman" w:eastAsia="Times New Roman" w:hAnsi="Times New Roman"/>
          <w:sz w:val="17"/>
          <w:szCs w:val="17"/>
          <w:color w:val="auto"/>
        </w:rPr>
        <w:t>”) to be issued under an indenture to be entered into between the Company, as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issuer, and a trustee (a form of which is included as Exhibit 4.2 to the Registration Statement) and one or more board resolutions, supplements thereto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officer’s certificates thereunder (such indenture, together with the applicable board resolution, supplement or officer’s certificate pertaining to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applicable series of Debt Securities, the “</w:t>
      </w:r>
      <w:r>
        <w:rPr>
          <w:rFonts w:ascii="Times New Roman" w:cs="Times New Roman" w:eastAsia="Times New Roman" w:hAnsi="Times New Roman"/>
          <w:sz w:val="17"/>
          <w:szCs w:val="17"/>
          <w:b w:val="1"/>
          <w:bCs w:val="1"/>
          <w:i w:val="1"/>
          <w:iCs w:val="1"/>
          <w:color w:val="auto"/>
        </w:rPr>
        <w:t>Applicable Indenture</w:t>
      </w:r>
      <w:r>
        <w:rPr>
          <w:rFonts w:ascii="Times New Roman" w:cs="Times New Roman" w:eastAsia="Times New Roman" w:hAnsi="Times New Roman"/>
          <w:sz w:val="17"/>
          <w:szCs w:val="17"/>
          <w:color w:val="auto"/>
        </w:rPr>
        <w:t>”), (iv) warrants (“</w:t>
      </w:r>
      <w:r>
        <w:rPr>
          <w:rFonts w:ascii="Times New Roman" w:cs="Times New Roman" w:eastAsia="Times New Roman" w:hAnsi="Times New Roman"/>
          <w:sz w:val="17"/>
          <w:szCs w:val="17"/>
          <w:b w:val="1"/>
          <w:bCs w:val="1"/>
          <w:i w:val="1"/>
          <w:iCs w:val="1"/>
          <w:color w:val="auto"/>
        </w:rPr>
        <w:t>Warrants</w:t>
      </w:r>
      <w:r>
        <w:rPr>
          <w:rFonts w:ascii="Times New Roman" w:cs="Times New Roman" w:eastAsia="Times New Roman" w:hAnsi="Times New Roman"/>
          <w:sz w:val="17"/>
          <w:szCs w:val="17"/>
          <w:color w:val="auto"/>
        </w:rPr>
        <w:t>”) and (v) units (“</w:t>
      </w:r>
      <w:r>
        <w:rPr>
          <w:rFonts w:ascii="Times New Roman" w:cs="Times New Roman" w:eastAsia="Times New Roman" w:hAnsi="Times New Roman"/>
          <w:sz w:val="17"/>
          <w:szCs w:val="17"/>
          <w:b w:val="1"/>
          <w:bCs w:val="1"/>
          <w:i w:val="1"/>
          <w:iCs w:val="1"/>
          <w:color w:val="auto"/>
        </w:rPr>
        <w:t>Units</w:t>
      </w:r>
      <w:r>
        <w:rPr>
          <w:rFonts w:ascii="Times New Roman" w:cs="Times New Roman" w:eastAsia="Times New Roman" w:hAnsi="Times New Roman"/>
          <w:sz w:val="17"/>
          <w:szCs w:val="17"/>
          <w:color w:val="auto"/>
        </w:rPr>
        <w:t>”). The Common Stock, Preferred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 Debt Securities, Warrants and Units are referred to herein collectively as the “</w:t>
      </w:r>
      <w:r>
        <w:rPr>
          <w:rFonts w:ascii="Times New Roman" w:cs="Times New Roman" w:eastAsia="Times New Roman" w:hAnsi="Times New Roman"/>
          <w:sz w:val="17"/>
          <w:szCs w:val="17"/>
          <w:b w:val="1"/>
          <w:bCs w:val="1"/>
          <w:i w:val="1"/>
          <w:iCs w:val="1"/>
          <w:color w:val="auto"/>
        </w:rPr>
        <w:t>Securities</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ind w:right="60" w:firstLine="416"/>
        <w:spacing w:after="0" w:line="264" w:lineRule="auto"/>
        <w:rPr>
          <w:sz w:val="20"/>
          <w:szCs w:val="20"/>
          <w:color w:val="auto"/>
        </w:rPr>
      </w:pPr>
      <w:r>
        <w:rPr>
          <w:rFonts w:ascii="Times New Roman" w:cs="Times New Roman" w:eastAsia="Times New Roman" w:hAnsi="Times New Roman"/>
          <w:sz w:val="17"/>
          <w:szCs w:val="17"/>
          <w:color w:val="auto"/>
        </w:rPr>
        <w:t>This opinion is being furnished in connection with the requirements of Item 601(b)(5) of Regulation S-K under the Act, and no opinion is expressed herein as to any matter pertaining to the contents of the Registration Statement or related applicable Prospectus, other than as expressly stated herein with respect to the issue of the Securities.</w:t>
      </w:r>
    </w:p>
    <w:p>
      <w:pPr>
        <w:spacing w:after="0" w:line="170" w:lineRule="exact"/>
        <w:rPr>
          <w:sz w:val="20"/>
          <w:szCs w:val="20"/>
          <w:color w:val="auto"/>
        </w:rPr>
      </w:pPr>
    </w:p>
    <w:p>
      <w:pPr>
        <w:ind w:right="160" w:firstLine="416"/>
        <w:spacing w:after="0" w:line="259" w:lineRule="auto"/>
        <w:rPr>
          <w:sz w:val="20"/>
          <w:szCs w:val="20"/>
          <w:color w:val="auto"/>
        </w:rPr>
      </w:pPr>
      <w:r>
        <w:rPr>
          <w:rFonts w:ascii="Times New Roman" w:cs="Times New Roman" w:eastAsia="Times New Roman" w:hAnsi="Times New Roman"/>
          <w:sz w:val="17"/>
          <w:szCs w:val="17"/>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and with respect to the opinions set forth in</w:t>
      </w:r>
    </w:p>
    <w:p>
      <w:pPr>
        <w:sectPr>
          <w:pgSz w:w="11900" w:h="16838" w:orient="portrait"/>
          <w:cols w:equalWidth="0" w:num="1">
            <w:col w:w="10400"/>
          </w:cols>
          <w:pgMar w:left="740" w:top="119" w:right="759" w:bottom="1440" w:gutter="0" w:footer="0" w:header="0"/>
          <w:type w:val="continuous"/>
        </w:sectPr>
      </w:pPr>
    </w:p>
    <w:bookmarkStart w:id="169" w:name="page170"/>
    <w:bookmarkEnd w:id="169"/>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4">
                      <a:extLst>
                        <a:ext uri="{28A0092B-C50C-407E-A947-70E740481C1C}"/>
                      </a:extLst>
                    </a:blip>
                    <a:srcRect/>
                    <a:stretch>
                      <a:fillRect/>
                    </a:stretch>
                  </pic:blipFill>
                  <pic:spPr bwMode="auto">
                    <a:xfrm>
                      <a:off x="0" y="0"/>
                      <a:ext cx="7181850" cy="36830"/>
                    </a:xfrm>
                    <a:prstGeom prst="rect">
                      <a:avLst/>
                    </a:prstGeom>
                    <a:noFill/>
                  </pic:spPr>
                </pic:pic>
              </a:graphicData>
            </a:graphic>
          </wp:anchor>
        </w:drawing>
        <w:t>July 19, 2024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151765</wp:posOffset>
            </wp:positionV>
            <wp:extent cx="1342390" cy="1295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5">
                      <a:extLst>
                        <a:ext uri="{28A0092B-C50C-407E-A947-70E740481C1C}"/>
                      </a:extLst>
                    </a:blip>
                    <a:srcRect/>
                    <a:stretch>
                      <a:fillRect/>
                    </a:stretch>
                  </pic:blipFill>
                  <pic:spPr bwMode="auto">
                    <a:xfrm>
                      <a:off x="0" y="0"/>
                      <a:ext cx="1342390" cy="12954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paragraphs 3 through 5 below, the internal laws of the State of New York, and we express no opinion with respect to the applicability thereto, or the effect thereon, of the laws of any other jurisdiction or, in the case of Delaware, any other laws, or as to any matters of municipal law or the laws of any local agencies within any state.</w:t>
      </w:r>
    </w:p>
    <w:p>
      <w:pPr>
        <w:spacing w:after="0" w:line="1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Subject to the foregoing and the other matters set forth herein, it is our opinion that, as of the date hereof:</w:t>
      </w:r>
    </w:p>
    <w:p>
      <w:pPr>
        <w:spacing w:after="0" w:line="110" w:lineRule="exact"/>
        <w:rPr>
          <w:sz w:val="20"/>
          <w:szCs w:val="20"/>
          <w:color w:val="auto"/>
        </w:rPr>
      </w:pPr>
    </w:p>
    <w:p>
      <w:pPr>
        <w:ind w:firstLine="424"/>
        <w:spacing w:after="0" w:line="255" w:lineRule="auto"/>
        <w:tabs>
          <w:tab w:leader="none" w:pos="585"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an issuance of Common Stock has been duly authorized by all necessary corporate action of the Company, upon issuance, delivery and payment therefor in an amount not less than the par value thereof in the manner contemplated by the applicable Prospectus and by such corporate action, and in total amounts and numbers of shares that do not exceed the respective total amounts and numbers of shares (a) available under the certificate of incorporation, and (b) authorized by the board of directors in connection with the offering contemplated by the applicable Prospectus, such shares of Common Stock will be validly issued, fully paid and nonassessable. In rendering the foregoing opinion, we have assumed that the Company will comply with all applicable notice requirements regarding uncertificated shares provided in the General Corporation Law of the State of Delaware.</w:t>
      </w:r>
    </w:p>
    <w:p>
      <w:pPr>
        <w:spacing w:after="0" w:line="78" w:lineRule="exact"/>
        <w:rPr>
          <w:rFonts w:ascii="Times New Roman" w:cs="Times New Roman" w:eastAsia="Times New Roman" w:hAnsi="Times New Roman"/>
          <w:sz w:val="17"/>
          <w:szCs w:val="17"/>
          <w:color w:val="auto"/>
        </w:rPr>
      </w:pPr>
    </w:p>
    <w:p>
      <w:pPr>
        <w:ind w:right="80" w:firstLine="424"/>
        <w:spacing w:after="0" w:line="255" w:lineRule="auto"/>
        <w:tabs>
          <w:tab w:leader="none" w:pos="585"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a series of Preferred Stock has been duly established in accordance with the terms of the Company’s certificate of incorporation and authorized by all necessary corporate action of the Company, upon issuance, delivery and payment therefor in an amount not less than the par value thereof in the manner contemplated by the applicable Prospectus and by such corporate action, and in total amounts and numbers of shares that do not exceed the respective total amounts and numbers of shares (a) available under the certificate of incorporation, and (b) authorized by the board of directors in connection with the offering contemplated by the applicable Prospectus, such shares of such series of Preferred Stock will be validly issued, fully paid and nonassessable. In rendering the foregoing opinion, we have assumed that the Company will comply with all applicable notice requirements regarding uncertificated shares provided in the General Corporation Law of the State of Delaware.</w:t>
      </w:r>
    </w:p>
    <w:p>
      <w:pPr>
        <w:spacing w:after="0" w:line="74" w:lineRule="exact"/>
        <w:rPr>
          <w:rFonts w:ascii="Times New Roman" w:cs="Times New Roman" w:eastAsia="Times New Roman" w:hAnsi="Times New Roman"/>
          <w:sz w:val="17"/>
          <w:szCs w:val="17"/>
          <w:color w:val="auto"/>
        </w:rPr>
      </w:pPr>
    </w:p>
    <w:p>
      <w:pPr>
        <w:ind w:right="100" w:firstLine="424"/>
        <w:spacing w:after="0" w:line="255" w:lineRule="auto"/>
        <w:tabs>
          <w:tab w:leader="none" w:pos="585"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Applicable Indenture has been duly authorized, executed and delivered by all necessary corporate action of the Company, and when the specific terms of a particular series of Debt Securities have been duly established in accordance with the terms of the Applicable Indenture and authorized by all necessary corporate action of the Company and such Debt Securities have been duly executed, authenticated, issued and delivered against payment therefor in accordance with the terms of the Applicable Indenture and in the manner contemplated by the applicable Prospectus and by such corporate action, such Debt Securities will be the legally valid and binding obligations of the Company, enforceable against the Company in accordance with their terms.</w:t>
      </w:r>
    </w:p>
    <w:p>
      <w:pPr>
        <w:spacing w:after="0" w:line="78" w:lineRule="exact"/>
        <w:rPr>
          <w:rFonts w:ascii="Times New Roman" w:cs="Times New Roman" w:eastAsia="Times New Roman" w:hAnsi="Times New Roman"/>
          <w:sz w:val="17"/>
          <w:szCs w:val="17"/>
          <w:color w:val="auto"/>
        </w:rPr>
      </w:pPr>
    </w:p>
    <w:p>
      <w:pPr>
        <w:ind w:right="280" w:firstLine="424"/>
        <w:spacing w:after="0" w:line="259" w:lineRule="auto"/>
        <w:tabs>
          <w:tab w:leader="none" w:pos="585"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applicable warrant agreement has been duly authorized, executed and delivered by all necessary corporate action of the Company, and when the specific terms of a particular issuance of Warrants have been duly established in accordance with the terms of the applicable warrant agreement and authorized by all necessary corporate action of the Company, and such Warrants have been duly executed, authenticated, issued and delivered against payment</w:t>
      </w:r>
    </w:p>
    <w:p>
      <w:pPr>
        <w:sectPr>
          <w:pgSz w:w="11900" w:h="16838" w:orient="portrait"/>
          <w:cols w:equalWidth="0" w:num="1">
            <w:col w:w="10400"/>
          </w:cols>
          <w:pgMar w:left="740" w:top="259" w:right="7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6">
                      <a:extLst>
                        <a:ext uri="{28A0092B-C50C-407E-A947-70E740481C1C}"/>
                      </a:extLst>
                    </a:blip>
                    <a:srcRect/>
                    <a:stretch>
                      <a:fillRect/>
                    </a:stretch>
                  </pic:blipFill>
                  <pic:spPr bwMode="auto">
                    <a:xfrm>
                      <a:off x="0" y="0"/>
                      <a:ext cx="7181850" cy="36830"/>
                    </a:xfrm>
                    <a:prstGeom prst="rect">
                      <a:avLst/>
                    </a:prstGeom>
                    <a:noFill/>
                  </pic:spPr>
                </pic:pic>
              </a:graphicData>
            </a:graphic>
          </wp:anchor>
        </w:drawing>
        <w:t>July 19, 2024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151130</wp:posOffset>
            </wp:positionV>
            <wp:extent cx="1342390" cy="1295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7">
                      <a:extLst>
                        <a:ext uri="{28A0092B-C50C-407E-A947-70E740481C1C}"/>
                      </a:extLst>
                    </a:blip>
                    <a:srcRect/>
                    <a:stretch>
                      <a:fillRect/>
                    </a:stretch>
                  </pic:blipFill>
                  <pic:spPr bwMode="auto">
                    <a:xfrm>
                      <a:off x="0" y="0"/>
                      <a:ext cx="1342390" cy="12954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therefor in accordance with the terms of the applicable warrant agreement and in the manner contemplated by the applicable Prospectus and by such corporate action (assuming the securities issuable upon exercise of such Warrants have been duly authorized and reserved for issuance by all necessary corporate action), such Warrants will be the legally valid and binding obligations of the Company, enforceable against the Company in accordance with their terms.</w:t>
      </w:r>
    </w:p>
    <w:p>
      <w:pPr>
        <w:spacing w:after="0" w:line="73" w:lineRule="exact"/>
        <w:rPr>
          <w:sz w:val="20"/>
          <w:szCs w:val="20"/>
          <w:color w:val="auto"/>
        </w:rPr>
      </w:pPr>
    </w:p>
    <w:p>
      <w:pPr>
        <w:ind w:right="40" w:firstLine="424"/>
        <w:spacing w:after="0" w:line="255" w:lineRule="auto"/>
        <w:tabs>
          <w:tab w:leader="none" w:pos="585"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applicable unit agreement has been duly authorized, executed and delivered by all necessary corporate action of the Company, and when the specific terms of a particular issuance of Units have been duly authorized in accordance with the terms of the applicable unit agreement and authorized by all necessary corporate action of the Company, and such Units have been duly executed, authenticated, issued and delivered against payment therefor in accordance with the terms of the applicable unit agreement and in the manner contemplated by the applicable Prospectus and by such corporate action (assuming the securities issuable upon exercise of such Units have been duly authorized and reserved for issuance by all necessary corporate action), such Units will be the legally valid and binding obligations of the Company, enforceable against the Company in accordance with their terms.</w:t>
      </w:r>
    </w:p>
    <w:p>
      <w:pPr>
        <w:spacing w:after="0" w:line="176" w:lineRule="exact"/>
        <w:rPr>
          <w:sz w:val="20"/>
          <w:szCs w:val="20"/>
          <w:color w:val="auto"/>
        </w:rPr>
      </w:pPr>
    </w:p>
    <w:p>
      <w:pPr>
        <w:ind w:firstLine="416"/>
        <w:spacing w:after="0" w:line="251" w:lineRule="auto"/>
        <w:rPr>
          <w:sz w:val="20"/>
          <w:szCs w:val="20"/>
          <w:color w:val="auto"/>
        </w:rPr>
      </w:pPr>
      <w:r>
        <w:rPr>
          <w:rFonts w:ascii="Times New Roman" w:cs="Times New Roman" w:eastAsia="Times New Roman" w:hAnsi="Times New Roman"/>
          <w:sz w:val="17"/>
          <w:szCs w:val="17"/>
          <w:color w:val="auto"/>
        </w:rPr>
        <w:t>Our opinions are subject to: (i) the effect of bankruptcy, insolvency, reorganization, preference, fraudulent transfer, moratorium or other similar laws relating to or affecting the rights and remedies of creditors; (ii) (a) the effect of general principles of equity, whether considered in a proceeding in equity or at law (including the possible unavailability of specific performance or injunctive relief), (b) concepts of materiality, reasonableness, good faith and fair dealing and (c) the discretion of the court before which a proceeding is brought; and (iii) the invalidity under certain circumstances under law or court decisions of provisions providing for the indemnification of or contribution to a party with respect to a liability where such indemnification or contribution is contrary to public policy. We express no opinion as to (a) any provision for liquidated damages, default interest, late charges, monetary penalties, make-whole premiums or other economic remedies to the extent such provisions are deemed to constitute a penalty, (b) consents to, or restrictions upon, governing law, jurisdiction, venue, arbitration, remedies or judicial relief, (c) waivers of rights or defenses, (d) any provision requiring the payment of attorneys’ fees, where such payment is contrary to law or public policy, (e) any provision permitting, upon acceleration of any Debt Securities, collection of that portion of the stated principal amount thereof which might be determined to constitute unearned interest thereon, (f) the creation, validity, attachment, perfection, or priority of any lien or security interest, (g) advance waivers of claims, defenses, rights granted by law, or notice, opportunity for hearing, evidentiary requirements, statutes of limitation, trial by jury or at law, or other procedural rights, (h) waivers of broadly or vaguely stated rights, (i) provisions for exclusivity, election or cumulation of rights or remedies, (j) provisions authorizing or validating conclusive or discretionary determinations, (k) grants of setoff rights, (l) proxies, powers and trusts, (m) provisions prohibiting, restricting, or requiring consent to assignment or transfer of any right or property, (n) any provision to the extent it requires that a claim with respect to a security denominated in other than U.S. dollars (or a judgment in respect of such a claim) be converted into U.S. dollars at a rate of exchange at a particular date, to the extent applicable law otherwise provides, and (o) the severability, if invalid, of provisions to the foregoing effect.</w:t>
      </w:r>
    </w:p>
    <w:p>
      <w:pPr>
        <w:sectPr>
          <w:pgSz w:w="11900" w:h="16838" w:orient="portrait"/>
          <w:cols w:equalWidth="0" w:num="1">
            <w:col w:w="10400"/>
          </w:cols>
          <w:pgMar w:left="740" w:top="259" w:right="7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8">
                      <a:extLst>
                        <a:ext uri="{28A0092B-C50C-407E-A947-70E740481C1C}"/>
                      </a:extLst>
                    </a:blip>
                    <a:srcRect/>
                    <a:stretch>
                      <a:fillRect/>
                    </a:stretch>
                  </pic:blipFill>
                  <pic:spPr bwMode="auto">
                    <a:xfrm>
                      <a:off x="0" y="0"/>
                      <a:ext cx="7181850" cy="36830"/>
                    </a:xfrm>
                    <a:prstGeom prst="rect">
                      <a:avLst/>
                    </a:prstGeom>
                    <a:noFill/>
                  </pic:spPr>
                </pic:pic>
              </a:graphicData>
            </a:graphic>
          </wp:anchor>
        </w:drawing>
        <w:t>July 19, 2024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151130</wp:posOffset>
            </wp:positionV>
            <wp:extent cx="1342390" cy="1295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9">
                      <a:extLst>
                        <a:ext uri="{28A0092B-C50C-407E-A947-70E740481C1C}"/>
                      </a:extLst>
                    </a:blip>
                    <a:srcRect/>
                    <a:stretch>
                      <a:fillRect/>
                    </a:stretch>
                  </pic:blipFill>
                  <pic:spPr bwMode="auto">
                    <a:xfrm>
                      <a:off x="0" y="0"/>
                      <a:ext cx="1342390" cy="12954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right="100" w:firstLine="416"/>
        <w:spacing w:after="0" w:line="269" w:lineRule="auto"/>
        <w:rPr>
          <w:sz w:val="20"/>
          <w:szCs w:val="20"/>
          <w:color w:val="auto"/>
        </w:rPr>
      </w:pPr>
      <w:r>
        <w:rPr>
          <w:rFonts w:ascii="Times New Roman" w:cs="Times New Roman" w:eastAsia="Times New Roman" w:hAnsi="Times New Roman"/>
          <w:sz w:val="16"/>
          <w:szCs w:val="16"/>
          <w:color w:val="auto"/>
        </w:rPr>
        <w:t>With your consent, we have assumed (a) that each of the Debt Securities, Warrants, Units, Applicable Indenture, warrant agreements and unit agreements governing such Securities (collectively, the “</w:t>
      </w:r>
      <w:r>
        <w:rPr>
          <w:rFonts w:ascii="Times New Roman" w:cs="Times New Roman" w:eastAsia="Times New Roman" w:hAnsi="Times New Roman"/>
          <w:sz w:val="16"/>
          <w:szCs w:val="16"/>
          <w:b w:val="1"/>
          <w:bCs w:val="1"/>
          <w:i w:val="1"/>
          <w:iCs w:val="1"/>
          <w:color w:val="auto"/>
        </w:rPr>
        <w:t>Documents</w:t>
      </w:r>
      <w:r>
        <w:rPr>
          <w:rFonts w:ascii="Times New Roman" w:cs="Times New Roman" w:eastAsia="Times New Roman" w:hAnsi="Times New Roman"/>
          <w:sz w:val="16"/>
          <w:szCs w:val="16"/>
          <w:color w:val="auto"/>
        </w:rPr>
        <w:t>”) will be governed by the internal laws of the State of New York, (b) that each of the Documents has been or will be duly authorized, executed and delivered by the parties thereto, (c) that each of the Documents constitutes or will constitute legally valid and binding obligations of the parties thereto other than the Company, enforceable against each of them in accordance with their respective terms, and (d) that the status of each of the Documents as legally valid and binding obligations of the parties will not be affected by any</w:t>
      </w:r>
    </w:p>
    <w:p>
      <w:pPr>
        <w:spacing w:after="0" w:line="3" w:lineRule="exact"/>
        <w:rPr>
          <w:sz w:val="20"/>
          <w:szCs w:val="20"/>
          <w:color w:val="auto"/>
        </w:rPr>
      </w:pPr>
    </w:p>
    <w:p>
      <w:pPr>
        <w:ind w:right="40" w:firstLine="8"/>
        <w:spacing w:after="0" w:line="291" w:lineRule="auto"/>
        <w:tabs>
          <w:tab w:leader="none" w:pos="203"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breaches of, or defaults under, agreements or instruments, (ii) violations of statutes, rules, regulations or court or governmental orders, or (iii) failures to obtain required consents, approvals or authorizations from, or to make required registrations, declarations or filings with, governmental authorities.</w:t>
      </w:r>
    </w:p>
    <w:p>
      <w:pPr>
        <w:spacing w:after="0" w:line="150" w:lineRule="exact"/>
        <w:rPr>
          <w:sz w:val="20"/>
          <w:szCs w:val="20"/>
          <w:color w:val="auto"/>
        </w:rPr>
      </w:pPr>
    </w:p>
    <w:p>
      <w:pPr>
        <w:ind w:firstLine="416"/>
        <w:spacing w:after="0" w:line="255" w:lineRule="auto"/>
        <w:rPr>
          <w:sz w:val="20"/>
          <w:szCs w:val="20"/>
          <w:color w:val="auto"/>
        </w:rPr>
      </w:pPr>
      <w:r>
        <w:rPr>
          <w:rFonts w:ascii="Times New Roman" w:cs="Times New Roman" w:eastAsia="Times New Roman" w:hAnsi="Times New Roman"/>
          <w:sz w:val="17"/>
          <w:szCs w:val="17"/>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contained in the Prospectus under the heading “Legal Matters.” We further consent to the incorporation by reference of this letter and consent into any registration statement or post-effective amendment to the Registration Statement filed pursuant to Rule 462(b) under the Act with respect to the Securities. In giving such consent, we do not thereby admit that we are in the category of persons whose consent is required under Section 7 of the Act or the rules and regulations of the Commission thereunder.</w:t>
      </w:r>
    </w:p>
    <w:p>
      <w:pPr>
        <w:spacing w:after="0" w:line="205"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7"/>
          <w:szCs w:val="17"/>
          <w:color w:val="auto"/>
        </w:rPr>
        <w:t>Sincerely,</w:t>
      </w:r>
    </w:p>
    <w:p>
      <w:pPr>
        <w:spacing w:after="0" w:line="212"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7"/>
          <w:szCs w:val="17"/>
          <w:color w:val="auto"/>
        </w:rPr>
        <w:t>/s/ Latham &amp; Watkins LLP</w:t>
      </w:r>
    </w:p>
    <w:p>
      <w:pPr>
        <w:sectPr>
          <w:pgSz w:w="11900" w:h="16838" w:orient="portrait"/>
          <w:cols w:equalWidth="0" w:num="1">
            <w:col w:w="10400"/>
          </w:cols>
          <w:pgMar w:left="740" w:top="259" w:right="75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7"/>
          <w:szCs w:val="17"/>
          <w:b w:val="1"/>
          <w:bCs w:val="1"/>
          <w:color w:val="auto"/>
        </w:rPr>
        <w:t>Exhibit 5.2</w:t>
      </w:r>
    </w:p>
    <w:p>
      <w:pPr>
        <w:spacing w:after="0" w:line="289"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4"/>
          <w:szCs w:val="14"/>
          <w:color w:val="auto"/>
        </w:rPr>
        <w:t>200 Clarendon Street</w:t>
      </w:r>
    </w:p>
    <w:p>
      <w:pPr>
        <w:spacing w:after="0" w:line="30"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4"/>
          <w:szCs w:val="14"/>
          <w:color w:val="auto"/>
        </w:rPr>
        <w:t>Boston, Massachusetts 02116</w:t>
      </w:r>
    </w:p>
    <w:p>
      <w:pPr>
        <w:spacing w:after="0" w:line="30"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4"/>
          <w:szCs w:val="14"/>
          <w:color w:val="auto"/>
        </w:rPr>
        <w:t>Tel: +1.617.948.6000 Fax: +1.617.948.6001</w:t>
      </w:r>
    </w:p>
    <w:p>
      <w:pPr>
        <w:spacing w:after="0" w:line="30"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4"/>
          <w:szCs w:val="14"/>
          <w:color w:val="auto"/>
        </w:rPr>
        <w:t>www.lw.com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31750</wp:posOffset>
            </wp:positionV>
            <wp:extent cx="1972945" cy="1778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0">
                      <a:extLst>
                        <a:ext uri="{28A0092B-C50C-407E-A947-70E740481C1C}"/>
                      </a:extLst>
                    </a:blip>
                    <a:srcRect/>
                    <a:stretch>
                      <a:fillRect/>
                    </a:stretch>
                  </pic:blipFill>
                  <pic:spPr bwMode="auto">
                    <a:xfrm>
                      <a:off x="0" y="0"/>
                      <a:ext cx="1972945" cy="17780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60" w:type="dxa"/>
            <w:vAlign w:val="bottom"/>
          </w:tcPr>
          <w:p>
            <w:pPr>
              <w:spacing w:after="0"/>
              <w:rPr>
                <w:sz w:val="15"/>
                <w:szCs w:val="15"/>
                <w:color w:val="auto"/>
              </w:rPr>
            </w:pPr>
          </w:p>
        </w:tc>
        <w:tc>
          <w:tcPr>
            <w:tcW w:w="4300" w:type="dxa"/>
            <w:vAlign w:val="bottom"/>
            <w:gridSpan w:val="2"/>
          </w:tcPr>
          <w:p>
            <w:pPr>
              <w:ind w:left="2100"/>
              <w:spacing w:after="0"/>
              <w:rPr>
                <w:sz w:val="20"/>
                <w:szCs w:val="20"/>
                <w:color w:val="auto"/>
              </w:rPr>
            </w:pPr>
            <w:r>
              <w:rPr>
                <w:rFonts w:ascii="Times New Roman" w:cs="Times New Roman" w:eastAsia="Times New Roman" w:hAnsi="Times New Roman"/>
                <w:sz w:val="14"/>
                <w:szCs w:val="14"/>
                <w:color w:val="auto"/>
              </w:rPr>
              <w:t>FIRM / AFFILIATE OFFICES</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3080" w:type="dxa"/>
            <w:vAlign w:val="bottom"/>
          </w:tcPr>
          <w:p>
            <w:pPr>
              <w:ind w:left="2100"/>
              <w:spacing w:after="0"/>
              <w:rPr>
                <w:sz w:val="20"/>
                <w:szCs w:val="20"/>
                <w:color w:val="auto"/>
              </w:rPr>
            </w:pPr>
            <w:r>
              <w:rPr>
                <w:rFonts w:ascii="Times New Roman" w:cs="Times New Roman" w:eastAsia="Times New Roman" w:hAnsi="Times New Roman"/>
                <w:sz w:val="14"/>
                <w:szCs w:val="14"/>
                <w:color w:val="auto"/>
              </w:rPr>
              <w:t>Austin</w:t>
            </w:r>
          </w:p>
        </w:tc>
        <w:tc>
          <w:tcPr>
            <w:tcW w:w="1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Milan</w:t>
            </w:r>
          </w:p>
        </w:tc>
        <w:tc>
          <w:tcPr>
            <w:tcW w:w="0" w:type="dxa"/>
            <w:vAlign w:val="bottom"/>
          </w:tcPr>
          <w:p>
            <w:pPr>
              <w:spacing w:after="0"/>
              <w:rPr>
                <w:sz w:val="1"/>
                <w:szCs w:val="1"/>
                <w:color w:val="auto"/>
              </w:rPr>
            </w:pPr>
          </w:p>
        </w:tc>
      </w:tr>
      <w:tr>
        <w:trPr>
          <w:trHeight w:val="191"/>
        </w:trPr>
        <w:tc>
          <w:tcPr>
            <w:tcW w:w="4360" w:type="dxa"/>
            <w:vAlign w:val="bottom"/>
          </w:tcPr>
          <w:p>
            <w:pPr>
              <w:spacing w:after="0"/>
              <w:rPr>
                <w:sz w:val="16"/>
                <w:szCs w:val="16"/>
                <w:color w:val="auto"/>
              </w:rPr>
            </w:pPr>
          </w:p>
        </w:tc>
        <w:tc>
          <w:tcPr>
            <w:tcW w:w="3080" w:type="dxa"/>
            <w:vAlign w:val="bottom"/>
          </w:tcPr>
          <w:p>
            <w:pPr>
              <w:ind w:left="2100"/>
              <w:spacing w:after="0"/>
              <w:rPr>
                <w:sz w:val="20"/>
                <w:szCs w:val="20"/>
                <w:color w:val="auto"/>
              </w:rPr>
            </w:pPr>
            <w:r>
              <w:rPr>
                <w:rFonts w:ascii="Times New Roman" w:cs="Times New Roman" w:eastAsia="Times New Roman" w:hAnsi="Times New Roman"/>
                <w:sz w:val="14"/>
                <w:szCs w:val="14"/>
                <w:color w:val="auto"/>
              </w:rPr>
              <w:t>Beijing</w:t>
            </w:r>
          </w:p>
        </w:tc>
        <w:tc>
          <w:tcPr>
            <w:tcW w:w="1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Munich</w:t>
            </w:r>
          </w:p>
        </w:tc>
        <w:tc>
          <w:tcPr>
            <w:tcW w:w="0" w:type="dxa"/>
            <w:vAlign w:val="bottom"/>
          </w:tcPr>
          <w:p>
            <w:pPr>
              <w:spacing w:after="0"/>
              <w:rPr>
                <w:sz w:val="1"/>
                <w:szCs w:val="1"/>
                <w:color w:val="auto"/>
              </w:rPr>
            </w:pPr>
          </w:p>
        </w:tc>
      </w:tr>
      <w:tr>
        <w:trPr>
          <w:trHeight w:val="191"/>
        </w:trPr>
        <w:tc>
          <w:tcPr>
            <w:tcW w:w="4360" w:type="dxa"/>
            <w:vAlign w:val="bottom"/>
          </w:tcPr>
          <w:p>
            <w:pPr>
              <w:spacing w:after="0"/>
              <w:rPr>
                <w:sz w:val="16"/>
                <w:szCs w:val="16"/>
                <w:color w:val="auto"/>
              </w:rPr>
            </w:pPr>
          </w:p>
        </w:tc>
        <w:tc>
          <w:tcPr>
            <w:tcW w:w="3080" w:type="dxa"/>
            <w:vAlign w:val="bottom"/>
          </w:tcPr>
          <w:p>
            <w:pPr>
              <w:ind w:left="2100"/>
              <w:spacing w:after="0"/>
              <w:rPr>
                <w:sz w:val="20"/>
                <w:szCs w:val="20"/>
                <w:color w:val="auto"/>
              </w:rPr>
            </w:pPr>
            <w:r>
              <w:rPr>
                <w:rFonts w:ascii="Times New Roman" w:cs="Times New Roman" w:eastAsia="Times New Roman" w:hAnsi="Times New Roman"/>
                <w:sz w:val="14"/>
                <w:szCs w:val="14"/>
                <w:color w:val="auto"/>
              </w:rPr>
              <w:t>Boston</w:t>
            </w:r>
          </w:p>
        </w:tc>
        <w:tc>
          <w:tcPr>
            <w:tcW w:w="1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New York</w:t>
            </w:r>
          </w:p>
        </w:tc>
        <w:tc>
          <w:tcPr>
            <w:tcW w:w="0" w:type="dxa"/>
            <w:vAlign w:val="bottom"/>
          </w:tcPr>
          <w:p>
            <w:pPr>
              <w:spacing w:after="0"/>
              <w:rPr>
                <w:sz w:val="1"/>
                <w:szCs w:val="1"/>
                <w:color w:val="auto"/>
              </w:rPr>
            </w:pPr>
          </w:p>
        </w:tc>
      </w:tr>
      <w:tr>
        <w:trPr>
          <w:trHeight w:val="191"/>
        </w:trPr>
        <w:tc>
          <w:tcPr>
            <w:tcW w:w="4360" w:type="dxa"/>
            <w:vAlign w:val="bottom"/>
          </w:tcPr>
          <w:p>
            <w:pPr>
              <w:spacing w:after="0"/>
              <w:rPr>
                <w:sz w:val="16"/>
                <w:szCs w:val="16"/>
                <w:color w:val="auto"/>
              </w:rPr>
            </w:pPr>
          </w:p>
        </w:tc>
        <w:tc>
          <w:tcPr>
            <w:tcW w:w="3080" w:type="dxa"/>
            <w:vAlign w:val="bottom"/>
          </w:tcPr>
          <w:p>
            <w:pPr>
              <w:ind w:left="2100"/>
              <w:spacing w:after="0"/>
              <w:rPr>
                <w:sz w:val="20"/>
                <w:szCs w:val="20"/>
                <w:color w:val="auto"/>
              </w:rPr>
            </w:pPr>
            <w:r>
              <w:rPr>
                <w:rFonts w:ascii="Times New Roman" w:cs="Times New Roman" w:eastAsia="Times New Roman" w:hAnsi="Times New Roman"/>
                <w:sz w:val="14"/>
                <w:szCs w:val="14"/>
                <w:color w:val="auto"/>
              </w:rPr>
              <w:t>Brussels</w:t>
            </w:r>
          </w:p>
        </w:tc>
        <w:tc>
          <w:tcPr>
            <w:tcW w:w="1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Orange County</w:t>
            </w:r>
          </w:p>
        </w:tc>
        <w:tc>
          <w:tcPr>
            <w:tcW w:w="0" w:type="dxa"/>
            <w:vAlign w:val="bottom"/>
          </w:tcPr>
          <w:p>
            <w:pPr>
              <w:spacing w:after="0"/>
              <w:rPr>
                <w:sz w:val="1"/>
                <w:szCs w:val="1"/>
                <w:color w:val="auto"/>
              </w:rPr>
            </w:pPr>
          </w:p>
        </w:tc>
      </w:tr>
      <w:tr>
        <w:trPr>
          <w:trHeight w:val="170"/>
        </w:trPr>
        <w:tc>
          <w:tcPr>
            <w:tcW w:w="4360" w:type="dxa"/>
            <w:vAlign w:val="bottom"/>
          </w:tcPr>
          <w:p>
            <w:pPr>
              <w:spacing w:after="0" w:line="170" w:lineRule="exact"/>
              <w:rPr>
                <w:sz w:val="20"/>
                <w:szCs w:val="20"/>
                <w:color w:val="auto"/>
              </w:rPr>
            </w:pPr>
            <w:r>
              <w:rPr>
                <w:rFonts w:ascii="Times New Roman" w:cs="Times New Roman" w:eastAsia="Times New Roman" w:hAnsi="Times New Roman"/>
                <w:sz w:val="17"/>
                <w:szCs w:val="17"/>
                <w:color w:val="auto"/>
              </w:rPr>
              <w:t>July 19, 2024</w:t>
            </w:r>
          </w:p>
        </w:tc>
        <w:tc>
          <w:tcPr>
            <w:tcW w:w="3080" w:type="dxa"/>
            <w:vAlign w:val="bottom"/>
          </w:tcPr>
          <w:p>
            <w:pPr>
              <w:ind w:left="2100"/>
              <w:spacing w:after="0"/>
              <w:rPr>
                <w:sz w:val="20"/>
                <w:szCs w:val="20"/>
                <w:color w:val="auto"/>
              </w:rPr>
            </w:pPr>
            <w:r>
              <w:rPr>
                <w:rFonts w:ascii="Times New Roman" w:cs="Times New Roman" w:eastAsia="Times New Roman" w:hAnsi="Times New Roman"/>
                <w:sz w:val="14"/>
                <w:szCs w:val="14"/>
                <w:color w:val="auto"/>
              </w:rPr>
              <w:t>Century City</w:t>
            </w:r>
          </w:p>
        </w:tc>
        <w:tc>
          <w:tcPr>
            <w:tcW w:w="1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Paris</w:t>
            </w:r>
          </w:p>
        </w:tc>
        <w:tc>
          <w:tcPr>
            <w:tcW w:w="0" w:type="dxa"/>
            <w:vAlign w:val="bottom"/>
          </w:tcPr>
          <w:p>
            <w:pPr>
              <w:spacing w:after="0"/>
              <w:rPr>
                <w:sz w:val="1"/>
                <w:szCs w:val="1"/>
                <w:color w:val="auto"/>
              </w:rPr>
            </w:pPr>
          </w:p>
        </w:tc>
      </w:tr>
      <w:tr>
        <w:trPr>
          <w:trHeight w:val="175"/>
        </w:trPr>
        <w:tc>
          <w:tcPr>
            <w:tcW w:w="4360" w:type="dxa"/>
            <w:vAlign w:val="bottom"/>
          </w:tcPr>
          <w:p>
            <w:pPr>
              <w:spacing w:after="0"/>
              <w:rPr>
                <w:sz w:val="15"/>
                <w:szCs w:val="15"/>
                <w:color w:val="auto"/>
              </w:rPr>
            </w:pPr>
          </w:p>
        </w:tc>
        <w:tc>
          <w:tcPr>
            <w:tcW w:w="3080" w:type="dxa"/>
            <w:vAlign w:val="bottom"/>
          </w:tcPr>
          <w:p>
            <w:pPr>
              <w:ind w:left="2100"/>
              <w:spacing w:after="0"/>
              <w:rPr>
                <w:sz w:val="20"/>
                <w:szCs w:val="20"/>
                <w:color w:val="auto"/>
              </w:rPr>
            </w:pPr>
            <w:r>
              <w:rPr>
                <w:rFonts w:ascii="Times New Roman" w:cs="Times New Roman" w:eastAsia="Times New Roman" w:hAnsi="Times New Roman"/>
                <w:sz w:val="14"/>
                <w:szCs w:val="14"/>
                <w:color w:val="auto"/>
              </w:rPr>
              <w:t>Chicago</w:t>
            </w:r>
          </w:p>
        </w:tc>
        <w:tc>
          <w:tcPr>
            <w:tcW w:w="1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Riyadh</w:t>
            </w:r>
          </w:p>
        </w:tc>
        <w:tc>
          <w:tcPr>
            <w:tcW w:w="0" w:type="dxa"/>
            <w:vAlign w:val="bottom"/>
          </w:tcPr>
          <w:p>
            <w:pPr>
              <w:spacing w:after="0"/>
              <w:rPr>
                <w:sz w:val="1"/>
                <w:szCs w:val="1"/>
                <w:color w:val="auto"/>
              </w:rPr>
            </w:pPr>
          </w:p>
        </w:tc>
      </w:tr>
      <w:tr>
        <w:trPr>
          <w:trHeight w:val="177"/>
        </w:trPr>
        <w:tc>
          <w:tcPr>
            <w:tcW w:w="4360" w:type="dxa"/>
            <w:vAlign w:val="bottom"/>
          </w:tcPr>
          <w:p>
            <w:pPr>
              <w:spacing w:after="0"/>
              <w:rPr>
                <w:sz w:val="15"/>
                <w:szCs w:val="15"/>
                <w:color w:val="auto"/>
              </w:rPr>
            </w:pPr>
          </w:p>
        </w:tc>
        <w:tc>
          <w:tcPr>
            <w:tcW w:w="3080" w:type="dxa"/>
            <w:vAlign w:val="bottom"/>
          </w:tcPr>
          <w:p>
            <w:pPr>
              <w:ind w:left="2100"/>
              <w:spacing w:after="0"/>
              <w:rPr>
                <w:sz w:val="20"/>
                <w:szCs w:val="20"/>
                <w:color w:val="auto"/>
              </w:rPr>
            </w:pPr>
            <w:r>
              <w:rPr>
                <w:rFonts w:ascii="Times New Roman" w:cs="Times New Roman" w:eastAsia="Times New Roman" w:hAnsi="Times New Roman"/>
                <w:sz w:val="14"/>
                <w:szCs w:val="14"/>
                <w:color w:val="auto"/>
              </w:rPr>
              <w:t>Dubai</w:t>
            </w:r>
          </w:p>
        </w:tc>
        <w:tc>
          <w:tcPr>
            <w:tcW w:w="1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San Diego</w:t>
            </w:r>
          </w:p>
        </w:tc>
        <w:tc>
          <w:tcPr>
            <w:tcW w:w="0" w:type="dxa"/>
            <w:vAlign w:val="bottom"/>
          </w:tcPr>
          <w:p>
            <w:pPr>
              <w:spacing w:after="0"/>
              <w:rPr>
                <w:sz w:val="1"/>
                <w:szCs w:val="1"/>
                <w:color w:val="auto"/>
              </w:rPr>
            </w:pPr>
          </w:p>
        </w:tc>
      </w:tr>
      <w:tr>
        <w:trPr>
          <w:trHeight w:val="191"/>
        </w:trPr>
        <w:tc>
          <w:tcPr>
            <w:tcW w:w="4360" w:type="dxa"/>
            <w:vAlign w:val="bottom"/>
          </w:tcPr>
          <w:p>
            <w:pPr>
              <w:spacing w:after="0"/>
              <w:rPr>
                <w:sz w:val="16"/>
                <w:szCs w:val="16"/>
                <w:color w:val="auto"/>
              </w:rPr>
            </w:pPr>
          </w:p>
        </w:tc>
        <w:tc>
          <w:tcPr>
            <w:tcW w:w="3080" w:type="dxa"/>
            <w:vAlign w:val="bottom"/>
          </w:tcPr>
          <w:p>
            <w:pPr>
              <w:ind w:left="2100"/>
              <w:spacing w:after="0"/>
              <w:rPr>
                <w:sz w:val="20"/>
                <w:szCs w:val="20"/>
                <w:color w:val="auto"/>
              </w:rPr>
            </w:pPr>
            <w:r>
              <w:rPr>
                <w:rFonts w:ascii="Times New Roman" w:cs="Times New Roman" w:eastAsia="Times New Roman" w:hAnsi="Times New Roman"/>
                <w:sz w:val="14"/>
                <w:szCs w:val="14"/>
                <w:color w:val="auto"/>
              </w:rPr>
              <w:t>Düsseldorf</w:t>
            </w:r>
          </w:p>
        </w:tc>
        <w:tc>
          <w:tcPr>
            <w:tcW w:w="1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San Francisco</w:t>
            </w:r>
          </w:p>
        </w:tc>
        <w:tc>
          <w:tcPr>
            <w:tcW w:w="0" w:type="dxa"/>
            <w:vAlign w:val="bottom"/>
          </w:tcPr>
          <w:p>
            <w:pPr>
              <w:spacing w:after="0"/>
              <w:rPr>
                <w:sz w:val="1"/>
                <w:szCs w:val="1"/>
                <w:color w:val="auto"/>
              </w:rPr>
            </w:pPr>
          </w:p>
        </w:tc>
      </w:tr>
      <w:tr>
        <w:trPr>
          <w:trHeight w:val="191"/>
        </w:trPr>
        <w:tc>
          <w:tcPr>
            <w:tcW w:w="4360" w:type="dxa"/>
            <w:vAlign w:val="bottom"/>
          </w:tcPr>
          <w:p>
            <w:pPr>
              <w:spacing w:after="0"/>
              <w:rPr>
                <w:sz w:val="16"/>
                <w:szCs w:val="16"/>
                <w:color w:val="auto"/>
              </w:rPr>
            </w:pPr>
          </w:p>
        </w:tc>
        <w:tc>
          <w:tcPr>
            <w:tcW w:w="3080" w:type="dxa"/>
            <w:vAlign w:val="bottom"/>
          </w:tcPr>
          <w:p>
            <w:pPr>
              <w:ind w:left="2100"/>
              <w:spacing w:after="0"/>
              <w:rPr>
                <w:sz w:val="20"/>
                <w:szCs w:val="20"/>
                <w:color w:val="auto"/>
              </w:rPr>
            </w:pPr>
            <w:r>
              <w:rPr>
                <w:rFonts w:ascii="Times New Roman" w:cs="Times New Roman" w:eastAsia="Times New Roman" w:hAnsi="Times New Roman"/>
                <w:sz w:val="14"/>
                <w:szCs w:val="14"/>
                <w:color w:val="auto"/>
              </w:rPr>
              <w:t>Frankfurt</w:t>
            </w:r>
          </w:p>
        </w:tc>
        <w:tc>
          <w:tcPr>
            <w:tcW w:w="1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Seoul</w:t>
            </w:r>
          </w:p>
        </w:tc>
        <w:tc>
          <w:tcPr>
            <w:tcW w:w="0" w:type="dxa"/>
            <w:vAlign w:val="bottom"/>
          </w:tcPr>
          <w:p>
            <w:pPr>
              <w:spacing w:after="0"/>
              <w:rPr>
                <w:sz w:val="1"/>
                <w:szCs w:val="1"/>
                <w:color w:val="auto"/>
              </w:rPr>
            </w:pPr>
          </w:p>
        </w:tc>
      </w:tr>
      <w:tr>
        <w:trPr>
          <w:trHeight w:val="191"/>
        </w:trPr>
        <w:tc>
          <w:tcPr>
            <w:tcW w:w="4360" w:type="dxa"/>
            <w:vAlign w:val="bottom"/>
          </w:tcPr>
          <w:p>
            <w:pPr>
              <w:spacing w:after="0"/>
              <w:rPr>
                <w:sz w:val="16"/>
                <w:szCs w:val="16"/>
                <w:color w:val="auto"/>
              </w:rPr>
            </w:pPr>
          </w:p>
        </w:tc>
        <w:tc>
          <w:tcPr>
            <w:tcW w:w="3080" w:type="dxa"/>
            <w:vAlign w:val="bottom"/>
          </w:tcPr>
          <w:p>
            <w:pPr>
              <w:ind w:left="2100"/>
              <w:spacing w:after="0"/>
              <w:rPr>
                <w:sz w:val="20"/>
                <w:szCs w:val="20"/>
                <w:color w:val="auto"/>
              </w:rPr>
            </w:pPr>
            <w:r>
              <w:rPr>
                <w:rFonts w:ascii="Times New Roman" w:cs="Times New Roman" w:eastAsia="Times New Roman" w:hAnsi="Times New Roman"/>
                <w:sz w:val="14"/>
                <w:szCs w:val="14"/>
                <w:color w:val="auto"/>
              </w:rPr>
              <w:t>Hamburg</w:t>
            </w:r>
          </w:p>
        </w:tc>
        <w:tc>
          <w:tcPr>
            <w:tcW w:w="1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Silicon Valley</w:t>
            </w:r>
          </w:p>
        </w:tc>
        <w:tc>
          <w:tcPr>
            <w:tcW w:w="0" w:type="dxa"/>
            <w:vAlign w:val="bottom"/>
          </w:tcPr>
          <w:p>
            <w:pPr>
              <w:spacing w:after="0"/>
              <w:rPr>
                <w:sz w:val="1"/>
                <w:szCs w:val="1"/>
                <w:color w:val="auto"/>
              </w:rPr>
            </w:pPr>
          </w:p>
        </w:tc>
      </w:tr>
      <w:tr>
        <w:trPr>
          <w:trHeight w:val="191"/>
        </w:trPr>
        <w:tc>
          <w:tcPr>
            <w:tcW w:w="4360" w:type="dxa"/>
            <w:vAlign w:val="bottom"/>
          </w:tcPr>
          <w:p>
            <w:pPr>
              <w:spacing w:after="0"/>
              <w:rPr>
                <w:sz w:val="16"/>
                <w:szCs w:val="16"/>
                <w:color w:val="auto"/>
              </w:rPr>
            </w:pPr>
          </w:p>
        </w:tc>
        <w:tc>
          <w:tcPr>
            <w:tcW w:w="3080" w:type="dxa"/>
            <w:vAlign w:val="bottom"/>
          </w:tcPr>
          <w:p>
            <w:pPr>
              <w:ind w:left="2100"/>
              <w:spacing w:after="0"/>
              <w:rPr>
                <w:sz w:val="20"/>
                <w:szCs w:val="20"/>
                <w:color w:val="auto"/>
              </w:rPr>
            </w:pPr>
            <w:r>
              <w:rPr>
                <w:rFonts w:ascii="Times New Roman" w:cs="Times New Roman" w:eastAsia="Times New Roman" w:hAnsi="Times New Roman"/>
                <w:sz w:val="14"/>
                <w:szCs w:val="14"/>
                <w:color w:val="auto"/>
              </w:rPr>
              <w:t>Hong Kong</w:t>
            </w:r>
          </w:p>
        </w:tc>
        <w:tc>
          <w:tcPr>
            <w:tcW w:w="1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Singapore</w:t>
            </w:r>
          </w:p>
        </w:tc>
        <w:tc>
          <w:tcPr>
            <w:tcW w:w="0" w:type="dxa"/>
            <w:vAlign w:val="bottom"/>
          </w:tcPr>
          <w:p>
            <w:pPr>
              <w:spacing w:after="0"/>
              <w:rPr>
                <w:sz w:val="1"/>
                <w:szCs w:val="1"/>
                <w:color w:val="auto"/>
              </w:rPr>
            </w:pPr>
          </w:p>
        </w:tc>
      </w:tr>
      <w:tr>
        <w:trPr>
          <w:trHeight w:val="189"/>
        </w:trPr>
        <w:tc>
          <w:tcPr>
            <w:tcW w:w="436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T2 Biosystems, Inc.</w:t>
            </w:r>
          </w:p>
        </w:tc>
        <w:tc>
          <w:tcPr>
            <w:tcW w:w="3080" w:type="dxa"/>
            <w:vAlign w:val="bottom"/>
          </w:tcPr>
          <w:p>
            <w:pPr>
              <w:ind w:left="2100"/>
              <w:spacing w:after="0"/>
              <w:rPr>
                <w:sz w:val="20"/>
                <w:szCs w:val="20"/>
                <w:color w:val="auto"/>
              </w:rPr>
            </w:pPr>
            <w:r>
              <w:rPr>
                <w:rFonts w:ascii="Times New Roman" w:cs="Times New Roman" w:eastAsia="Times New Roman" w:hAnsi="Times New Roman"/>
                <w:sz w:val="14"/>
                <w:szCs w:val="14"/>
                <w:color w:val="auto"/>
              </w:rPr>
              <w:t>Houston</w:t>
            </w:r>
          </w:p>
        </w:tc>
        <w:tc>
          <w:tcPr>
            <w:tcW w:w="1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Tel Aviv</w:t>
            </w:r>
          </w:p>
        </w:tc>
        <w:tc>
          <w:tcPr>
            <w:tcW w:w="0" w:type="dxa"/>
            <w:vAlign w:val="bottom"/>
          </w:tcPr>
          <w:p>
            <w:pPr>
              <w:spacing w:after="0"/>
              <w:rPr>
                <w:sz w:val="1"/>
                <w:szCs w:val="1"/>
                <w:color w:val="auto"/>
              </w:rPr>
            </w:pPr>
          </w:p>
        </w:tc>
      </w:tr>
      <w:tr>
        <w:trPr>
          <w:trHeight w:val="132"/>
        </w:trPr>
        <w:tc>
          <w:tcPr>
            <w:tcW w:w="43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101 Hartwell Avenue</w:t>
            </w:r>
          </w:p>
        </w:tc>
        <w:tc>
          <w:tcPr>
            <w:tcW w:w="3080" w:type="dxa"/>
            <w:vAlign w:val="bottom"/>
          </w:tcPr>
          <w:p>
            <w:pPr>
              <w:ind w:left="2100"/>
              <w:spacing w:after="0" w:line="133" w:lineRule="exact"/>
              <w:rPr>
                <w:sz w:val="20"/>
                <w:szCs w:val="20"/>
                <w:color w:val="auto"/>
              </w:rPr>
            </w:pPr>
            <w:r>
              <w:rPr>
                <w:rFonts w:ascii="Times New Roman" w:cs="Times New Roman" w:eastAsia="Times New Roman" w:hAnsi="Times New Roman"/>
                <w:sz w:val="14"/>
                <w:szCs w:val="14"/>
                <w:color w:val="auto"/>
              </w:rPr>
              <w:t>London</w:t>
            </w:r>
          </w:p>
        </w:tc>
        <w:tc>
          <w:tcPr>
            <w:tcW w:w="1220" w:type="dxa"/>
            <w:vAlign w:val="bottom"/>
          </w:tcPr>
          <w:p>
            <w:pPr>
              <w:ind w:left="260"/>
              <w:spacing w:after="0" w:line="133" w:lineRule="exact"/>
              <w:rPr>
                <w:sz w:val="20"/>
                <w:szCs w:val="20"/>
                <w:color w:val="auto"/>
              </w:rPr>
            </w:pPr>
            <w:r>
              <w:rPr>
                <w:rFonts w:ascii="Times New Roman" w:cs="Times New Roman" w:eastAsia="Times New Roman" w:hAnsi="Times New Roman"/>
                <w:sz w:val="14"/>
                <w:szCs w:val="14"/>
                <w:color w:val="auto"/>
              </w:rPr>
              <w:t>Tokyo</w:t>
            </w:r>
          </w:p>
        </w:tc>
        <w:tc>
          <w:tcPr>
            <w:tcW w:w="0" w:type="dxa"/>
            <w:vAlign w:val="bottom"/>
          </w:tcPr>
          <w:p>
            <w:pPr>
              <w:spacing w:after="0"/>
              <w:rPr>
                <w:sz w:val="1"/>
                <w:szCs w:val="1"/>
                <w:color w:val="auto"/>
              </w:rPr>
            </w:pPr>
          </w:p>
        </w:tc>
      </w:tr>
      <w:tr>
        <w:trPr>
          <w:trHeight w:val="106"/>
        </w:trPr>
        <w:tc>
          <w:tcPr>
            <w:tcW w:w="4360" w:type="dxa"/>
            <w:vAlign w:val="bottom"/>
            <w:vMerge w:val="continue"/>
          </w:tcPr>
          <w:p>
            <w:pPr>
              <w:spacing w:after="0"/>
              <w:rPr>
                <w:sz w:val="9"/>
                <w:szCs w:val="9"/>
                <w:color w:val="auto"/>
              </w:rPr>
            </w:pPr>
          </w:p>
        </w:tc>
        <w:tc>
          <w:tcPr>
            <w:tcW w:w="3080" w:type="dxa"/>
            <w:vAlign w:val="bottom"/>
            <w:vMerge w:val="restart"/>
          </w:tcPr>
          <w:p>
            <w:pPr>
              <w:ind w:left="2100"/>
              <w:spacing w:after="0" w:line="153" w:lineRule="exact"/>
              <w:rPr>
                <w:sz w:val="20"/>
                <w:szCs w:val="20"/>
                <w:color w:val="auto"/>
              </w:rPr>
            </w:pPr>
            <w:r>
              <w:rPr>
                <w:rFonts w:ascii="Times New Roman" w:cs="Times New Roman" w:eastAsia="Times New Roman" w:hAnsi="Times New Roman"/>
                <w:sz w:val="14"/>
                <w:szCs w:val="14"/>
                <w:color w:val="auto"/>
              </w:rPr>
              <w:t>Los Angeles</w:t>
            </w:r>
          </w:p>
        </w:tc>
        <w:tc>
          <w:tcPr>
            <w:tcW w:w="1220" w:type="dxa"/>
            <w:vAlign w:val="bottom"/>
            <w:vMerge w:val="restart"/>
          </w:tcPr>
          <w:p>
            <w:pPr>
              <w:ind w:left="260"/>
              <w:spacing w:after="0" w:line="153" w:lineRule="exact"/>
              <w:rPr>
                <w:sz w:val="20"/>
                <w:szCs w:val="20"/>
                <w:color w:val="auto"/>
              </w:rPr>
            </w:pPr>
            <w:r>
              <w:rPr>
                <w:rFonts w:ascii="Times New Roman" w:cs="Times New Roman" w:eastAsia="Times New Roman" w:hAnsi="Times New Roman"/>
                <w:sz w:val="14"/>
                <w:szCs w:val="14"/>
                <w:color w:val="auto"/>
                <w:w w:val="92"/>
              </w:rPr>
              <w:t>Washington, D.C.</w:t>
            </w:r>
          </w:p>
        </w:tc>
        <w:tc>
          <w:tcPr>
            <w:tcW w:w="0" w:type="dxa"/>
            <w:vAlign w:val="bottom"/>
          </w:tcPr>
          <w:p>
            <w:pPr>
              <w:spacing w:after="0"/>
              <w:rPr>
                <w:sz w:val="1"/>
                <w:szCs w:val="1"/>
                <w:color w:val="auto"/>
              </w:rPr>
            </w:pPr>
          </w:p>
        </w:tc>
      </w:tr>
      <w:tr>
        <w:trPr>
          <w:trHeight w:val="47"/>
        </w:trPr>
        <w:tc>
          <w:tcPr>
            <w:tcW w:w="43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Lexington, Massachusetts 02421</w:t>
            </w:r>
          </w:p>
        </w:tc>
        <w:tc>
          <w:tcPr>
            <w:tcW w:w="308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4360" w:type="dxa"/>
            <w:vAlign w:val="bottom"/>
            <w:vMerge w:val="continue"/>
          </w:tcPr>
          <w:p>
            <w:pPr>
              <w:spacing w:after="0"/>
              <w:rPr>
                <w:sz w:val="15"/>
                <w:szCs w:val="15"/>
                <w:color w:val="auto"/>
              </w:rPr>
            </w:pPr>
          </w:p>
        </w:tc>
        <w:tc>
          <w:tcPr>
            <w:tcW w:w="3080" w:type="dxa"/>
            <w:vAlign w:val="bottom"/>
          </w:tcPr>
          <w:p>
            <w:pPr>
              <w:ind w:left="2100"/>
              <w:spacing w:after="0"/>
              <w:rPr>
                <w:sz w:val="20"/>
                <w:szCs w:val="20"/>
                <w:color w:val="auto"/>
              </w:rPr>
            </w:pPr>
            <w:r>
              <w:rPr>
                <w:rFonts w:ascii="Times New Roman" w:cs="Times New Roman" w:eastAsia="Times New Roman" w:hAnsi="Times New Roman"/>
                <w:sz w:val="14"/>
                <w:szCs w:val="14"/>
                <w:color w:val="auto"/>
              </w:rPr>
              <w:t>Madrid</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420" w:right="880" w:hanging="419"/>
        <w:spacing w:after="0" w:line="279" w:lineRule="auto"/>
        <w:tabs>
          <w:tab w:leader="none" w:pos="400" w:val="left"/>
        </w:tabs>
        <w:rPr>
          <w:sz w:val="20"/>
          <w:szCs w:val="20"/>
          <w:color w:val="auto"/>
        </w:rPr>
      </w:pPr>
      <w:r>
        <w:rPr>
          <w:rFonts w:ascii="Times New Roman" w:cs="Times New Roman" w:eastAsia="Times New Roman" w:hAnsi="Times New Roman"/>
          <w:sz w:val="17"/>
          <w:szCs w:val="17"/>
          <w:color w:val="auto"/>
        </w:rPr>
        <w:t>Re:</w:t>
      </w:r>
      <w:r>
        <w:rPr>
          <w:sz w:val="20"/>
          <w:szCs w:val="20"/>
          <w:color w:val="auto"/>
        </w:rPr>
        <w:tab/>
      </w:r>
      <w:r>
        <w:rPr>
          <w:rFonts w:ascii="Times New Roman" w:cs="Times New Roman" w:eastAsia="Times New Roman" w:hAnsi="Times New Roman"/>
          <w:sz w:val="17"/>
          <w:szCs w:val="17"/>
          <w:u w:val="single" w:color="auto"/>
          <w:color w:val="auto"/>
        </w:rPr>
        <w:t>Registration Statement on Form S-3; Shares of Common Stock par value $0.001 per share, having an aggregate offering price of up to $75,000,000</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addressee set forth above:</w:t>
      </w:r>
    </w:p>
    <w:p>
      <w:pPr>
        <w:spacing w:after="0" w:line="208" w:lineRule="exact"/>
        <w:rPr>
          <w:sz w:val="20"/>
          <w:szCs w:val="20"/>
          <w:color w:val="auto"/>
        </w:rPr>
      </w:pPr>
    </w:p>
    <w:p>
      <w:pPr>
        <w:ind w:right="20" w:firstLine="416"/>
        <w:spacing w:after="0" w:line="255" w:lineRule="auto"/>
        <w:rPr>
          <w:sz w:val="20"/>
          <w:szCs w:val="20"/>
          <w:color w:val="auto"/>
        </w:rPr>
      </w:pPr>
      <w:r>
        <w:rPr>
          <w:rFonts w:ascii="Times New Roman" w:cs="Times New Roman" w:eastAsia="Times New Roman" w:hAnsi="Times New Roman"/>
          <w:sz w:val="17"/>
          <w:szCs w:val="17"/>
          <w:color w:val="auto"/>
        </w:rPr>
        <w:t>We have acted as special counsel to T2 Biosystems,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in connection with the sale by the Company of shares (the “</w:t>
      </w:r>
      <w:r>
        <w:rPr>
          <w:rFonts w:ascii="Times New Roman" w:cs="Times New Roman" w:eastAsia="Times New Roman" w:hAnsi="Times New Roman"/>
          <w:sz w:val="17"/>
          <w:szCs w:val="17"/>
          <w:b w:val="1"/>
          <w:bCs w:val="1"/>
          <w:i w:val="1"/>
          <w:iCs w:val="1"/>
          <w:color w:val="auto"/>
        </w:rPr>
        <w:t>Shares</w:t>
      </w:r>
      <w:r>
        <w:rPr>
          <w:rFonts w:ascii="Times New Roman" w:cs="Times New Roman" w:eastAsia="Times New Roman" w:hAnsi="Times New Roman"/>
          <w:sz w:val="17"/>
          <w:szCs w:val="17"/>
          <w:color w:val="auto"/>
        </w:rPr>
        <w:t>”) of common stock of the Company, par value $0.001 per share (the “</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having an aggregate offering price of up to $75,000,000, pursuant to (i) a registration statement on Form S-3 under the Securities Act of 1933, as amended (the “</w:t>
      </w:r>
      <w:r>
        <w:rPr>
          <w:rFonts w:ascii="Times New Roman" w:cs="Times New Roman" w:eastAsia="Times New Roman" w:hAnsi="Times New Roman"/>
          <w:sz w:val="17"/>
          <w:szCs w:val="17"/>
          <w:b w:val="1"/>
          <w:bCs w:val="1"/>
          <w:i w:val="1"/>
          <w:iCs w:val="1"/>
          <w:color w:val="auto"/>
        </w:rPr>
        <w:t>Act</w:t>
      </w:r>
      <w:r>
        <w:rPr>
          <w:rFonts w:ascii="Times New Roman" w:cs="Times New Roman" w:eastAsia="Times New Roman" w:hAnsi="Times New Roman"/>
          <w:sz w:val="17"/>
          <w:szCs w:val="17"/>
          <w:color w:val="auto"/>
        </w:rPr>
        <w:t>”), filed with the Securities and Exchange Commission (the “</w:t>
      </w:r>
      <w:r>
        <w:rPr>
          <w:rFonts w:ascii="Times New Roman" w:cs="Times New Roman" w:eastAsia="Times New Roman" w:hAnsi="Times New Roman"/>
          <w:sz w:val="17"/>
          <w:szCs w:val="17"/>
          <w:b w:val="1"/>
          <w:bCs w:val="1"/>
          <w:i w:val="1"/>
          <w:iCs w:val="1"/>
          <w:color w:val="auto"/>
        </w:rPr>
        <w:t>Commission</w:t>
      </w:r>
      <w:r>
        <w:rPr>
          <w:rFonts w:ascii="Times New Roman" w:cs="Times New Roman" w:eastAsia="Times New Roman" w:hAnsi="Times New Roman"/>
          <w:sz w:val="17"/>
          <w:szCs w:val="17"/>
          <w:color w:val="auto"/>
        </w:rPr>
        <w:t>”) on July 19, 2024 (as so filed and as amended, the “</w:t>
      </w:r>
      <w:r>
        <w:rPr>
          <w:rFonts w:ascii="Times New Roman" w:cs="Times New Roman" w:eastAsia="Times New Roman" w:hAnsi="Times New Roman"/>
          <w:sz w:val="17"/>
          <w:szCs w:val="17"/>
          <w:b w:val="1"/>
          <w:bCs w:val="1"/>
          <w:i w:val="1"/>
          <w:iCs w:val="1"/>
          <w:color w:val="auto"/>
        </w:rPr>
        <w:t>Registration Statement</w:t>
      </w:r>
      <w:r>
        <w:rPr>
          <w:rFonts w:ascii="Times New Roman" w:cs="Times New Roman" w:eastAsia="Times New Roman" w:hAnsi="Times New Roman"/>
          <w:sz w:val="17"/>
          <w:szCs w:val="17"/>
          <w:color w:val="auto"/>
        </w:rPr>
        <w:t>”), (ii) the base prospectus included in the Registration Statement (the “</w:t>
      </w:r>
      <w:r>
        <w:rPr>
          <w:rFonts w:ascii="Times New Roman" w:cs="Times New Roman" w:eastAsia="Times New Roman" w:hAnsi="Times New Roman"/>
          <w:sz w:val="17"/>
          <w:szCs w:val="17"/>
          <w:b w:val="1"/>
          <w:bCs w:val="1"/>
          <w:i w:val="1"/>
          <w:iCs w:val="1"/>
          <w:color w:val="auto"/>
        </w:rPr>
        <w:t>Base Prospectus</w:t>
      </w:r>
      <w:r>
        <w:rPr>
          <w:rFonts w:ascii="Times New Roman" w:cs="Times New Roman" w:eastAsia="Times New Roman" w:hAnsi="Times New Roman"/>
          <w:sz w:val="17"/>
          <w:szCs w:val="17"/>
          <w:color w:val="auto"/>
        </w:rPr>
        <w:t>”), (iii) the prospectus supplement included in the Registration Statement (together with the Base Prospectus, the “</w:t>
      </w:r>
      <w:r>
        <w:rPr>
          <w:rFonts w:ascii="Times New Roman" w:cs="Times New Roman" w:eastAsia="Times New Roman" w:hAnsi="Times New Roman"/>
          <w:sz w:val="17"/>
          <w:szCs w:val="17"/>
          <w:b w:val="1"/>
          <w:bCs w:val="1"/>
          <w:i w:val="1"/>
          <w:iCs w:val="1"/>
          <w:color w:val="auto"/>
        </w:rPr>
        <w:t>Prospectus</w:t>
      </w:r>
      <w:r>
        <w:rPr>
          <w:rFonts w:ascii="Times New Roman" w:cs="Times New Roman" w:eastAsia="Times New Roman" w:hAnsi="Times New Roman"/>
          <w:sz w:val="17"/>
          <w:szCs w:val="17"/>
          <w:color w:val="auto"/>
        </w:rPr>
        <w:t>”), and (iv) that certain At the Market Offering Agreement, dated as of July 19, 2024, by and between the H.C. Wainwright &amp; Co., LLC (the “</w:t>
      </w:r>
      <w:r>
        <w:rPr>
          <w:rFonts w:ascii="Times New Roman" w:cs="Times New Roman" w:eastAsia="Times New Roman" w:hAnsi="Times New Roman"/>
          <w:sz w:val="17"/>
          <w:szCs w:val="17"/>
          <w:b w:val="1"/>
          <w:bCs w:val="1"/>
          <w:i w:val="1"/>
          <w:iCs w:val="1"/>
          <w:color w:val="auto"/>
        </w:rPr>
        <w:t>Sales Agreement</w:t>
      </w:r>
      <w:r>
        <w:rPr>
          <w:rFonts w:ascii="Times New Roman" w:cs="Times New Roman" w:eastAsia="Times New Roman" w:hAnsi="Times New Roman"/>
          <w:sz w:val="17"/>
          <w:szCs w:val="17"/>
          <w:color w:val="auto"/>
        </w:rPr>
        <w:t>”).</w:t>
      </w:r>
    </w:p>
    <w:p>
      <w:pPr>
        <w:spacing w:after="0" w:line="180" w:lineRule="exact"/>
        <w:rPr>
          <w:sz w:val="20"/>
          <w:szCs w:val="20"/>
          <w:color w:val="auto"/>
        </w:rPr>
      </w:pPr>
    </w:p>
    <w:p>
      <w:pPr>
        <w:ind w:right="240" w:firstLine="416"/>
        <w:spacing w:after="0" w:line="264" w:lineRule="auto"/>
        <w:rPr>
          <w:sz w:val="20"/>
          <w:szCs w:val="20"/>
          <w:color w:val="auto"/>
        </w:rPr>
      </w:pPr>
      <w:r>
        <w:rPr>
          <w:rFonts w:ascii="Times New Roman" w:cs="Times New Roman" w:eastAsia="Times New Roman" w:hAnsi="Times New Roman"/>
          <w:sz w:val="17"/>
          <w:szCs w:val="17"/>
          <w:color w:val="auto"/>
        </w:rPr>
        <w:t>This opinion is being furnished in connection with the requirements of Item 601(b)(5) of Regulation S-K under the Act, and no opinion is expressed herein as to any matter pertaining to the contents of the Registration Statement or the Prospectus, other than as expressly stated herein with respect to the issue of the Shares.</w:t>
      </w:r>
    </w:p>
    <w:p>
      <w:pPr>
        <w:spacing w:after="0" w:line="170" w:lineRule="exact"/>
        <w:rPr>
          <w:sz w:val="20"/>
          <w:szCs w:val="20"/>
          <w:color w:val="auto"/>
        </w:rPr>
      </w:pPr>
    </w:p>
    <w:p>
      <w:pPr>
        <w:ind w:right="180" w:firstLine="416"/>
        <w:spacing w:after="0" w:line="257" w:lineRule="auto"/>
        <w:rPr>
          <w:sz w:val="20"/>
          <w:szCs w:val="20"/>
          <w:color w:val="auto"/>
        </w:rPr>
      </w:pPr>
      <w:r>
        <w:rPr>
          <w:rFonts w:ascii="Times New Roman" w:cs="Times New Roman" w:eastAsia="Times New Roman" w:hAnsi="Times New Roman"/>
          <w:sz w:val="17"/>
          <w:szCs w:val="17"/>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Times New Roman" w:cs="Times New Roman" w:eastAsia="Times New Roman" w:hAnsi="Times New Roman"/>
          <w:sz w:val="17"/>
          <w:szCs w:val="17"/>
          <w:b w:val="1"/>
          <w:bCs w:val="1"/>
          <w:i w:val="1"/>
          <w:iCs w:val="1"/>
          <w:color w:val="auto"/>
        </w:rPr>
        <w:t>DGCL</w:t>
      </w:r>
      <w:r>
        <w:rPr>
          <w:rFonts w:ascii="Times New Roman" w:cs="Times New Roman" w:eastAsia="Times New Roman" w:hAnsi="Times New Roman"/>
          <w:sz w:val="17"/>
          <w:szCs w:val="17"/>
          <w:color w:val="auto"/>
        </w:rPr>
        <w:t>”), and we express no opinion with respect to the applicability thereto, or the effect thereon, of the laws of any other jurisdiction or, in the case of Delaware, any other laws, or as to any matters of municipal law or the laws of any local agencies within any state.</w:t>
      </w:r>
    </w:p>
    <w:p>
      <w:pPr>
        <w:sectPr>
          <w:pgSz w:w="11900" w:h="16838" w:orient="portrait"/>
          <w:cols w:equalWidth="0" w:num="1">
            <w:col w:w="10400"/>
          </w:cols>
          <w:pgMar w:left="740" w:top="119" w:right="75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1">
                      <a:extLst>
                        <a:ext uri="{28A0092B-C50C-407E-A947-70E740481C1C}"/>
                      </a:extLst>
                    </a:blip>
                    <a:srcRect/>
                    <a:stretch>
                      <a:fillRect/>
                    </a:stretch>
                  </pic:blipFill>
                  <pic:spPr bwMode="auto">
                    <a:xfrm>
                      <a:off x="0" y="0"/>
                      <a:ext cx="7181850" cy="36830"/>
                    </a:xfrm>
                    <a:prstGeom prst="rect">
                      <a:avLst/>
                    </a:prstGeom>
                    <a:noFill/>
                  </pic:spPr>
                </pic:pic>
              </a:graphicData>
            </a:graphic>
          </wp:anchor>
        </w:drawing>
        <w:t>July 19, 2024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151765</wp:posOffset>
            </wp:positionV>
            <wp:extent cx="1342390" cy="1295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2">
                      <a:extLst>
                        <a:ext uri="{28A0092B-C50C-407E-A947-70E740481C1C}"/>
                      </a:extLst>
                    </a:blip>
                    <a:srcRect/>
                    <a:stretch>
                      <a:fillRect/>
                    </a:stretch>
                  </pic:blipFill>
                  <pic:spPr bwMode="auto">
                    <a:xfrm>
                      <a:off x="0" y="0"/>
                      <a:ext cx="1342390" cy="12954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firstLine="416"/>
        <w:spacing w:after="0" w:line="252" w:lineRule="auto"/>
        <w:rPr>
          <w:sz w:val="20"/>
          <w:szCs w:val="20"/>
          <w:color w:val="auto"/>
        </w:rPr>
      </w:pPr>
      <w:r>
        <w:rPr>
          <w:rFonts w:ascii="Times New Roman" w:cs="Times New Roman" w:eastAsia="Times New Roman" w:hAnsi="Times New Roman"/>
          <w:sz w:val="17"/>
          <w:szCs w:val="17"/>
          <w:color w:val="auto"/>
        </w:rPr>
        <w:t>Subject to the foregoing and the other matters set forth herein, it is our opinion that, as of the date hereof, upon the completion of all Corporate Proceedings (as defined below) relating to the Shares, when the Shares shall have been duly registered on the books of the transfer agent and registrar therefor in the name or on behalf of the purchasers, upon issuance, delivery and payment therefor in an amount not less than the par value thereof in accordance with the Corporate Proceedings and the terms of the Sales Agreement, the Shares to be issued and sold by the Company pursuant to the Sales Agreement will be duly authorized by all necessary corporate action of the Company, and such Shares will be validly issued, fully paid and nonassessable. In rendering the foregoing opinion, we have assumed that (i) the Company will comply with all applicable notice requirements regarding uncertificated shares provided in the DGCL, (ii) upon the issue of any of the Shares, the total number of shares of Common Stock issued and outstanding will not exceed the total number of shares of Common Stock that the Company is then authorized to issue under its Restated Certificate of Incorporation and (iii) certain terms of the Shares to be issued by the Company from time to time will be authorized and approved by the Board of Directors of the Company or one or more committees thereof established by the Board of Directors with the authority to issue and sell Shares pursuant to the Sales Agreement in accordance with the DGCL, the Restated Certificate of Incorporation of the Company, the Amended and Restated Bylaws of the Company and certain resolutions of the Board of Directors and one or more committees thereof (with such approvals referred to herein as the “</w:t>
      </w:r>
      <w:r>
        <w:rPr>
          <w:rFonts w:ascii="Times New Roman" w:cs="Times New Roman" w:eastAsia="Times New Roman" w:hAnsi="Times New Roman"/>
          <w:sz w:val="17"/>
          <w:szCs w:val="17"/>
          <w:b w:val="1"/>
          <w:bCs w:val="1"/>
          <w:i w:val="1"/>
          <w:iCs w:val="1"/>
          <w:color w:val="auto"/>
        </w:rPr>
        <w:t>Corporate Proceedings</w:t>
      </w:r>
      <w:r>
        <w:rPr>
          <w:rFonts w:ascii="Times New Roman" w:cs="Times New Roman" w:eastAsia="Times New Roman" w:hAnsi="Times New Roman"/>
          <w:sz w:val="17"/>
          <w:szCs w:val="17"/>
          <w:color w:val="auto"/>
        </w:rPr>
        <w:t>”) prior to issuance thereof.</w:t>
      </w:r>
    </w:p>
    <w:p>
      <w:pPr>
        <w:spacing w:after="0" w:line="184" w:lineRule="exact"/>
        <w:rPr>
          <w:sz w:val="20"/>
          <w:szCs w:val="20"/>
          <w:color w:val="auto"/>
        </w:rPr>
      </w:pPr>
    </w:p>
    <w:p>
      <w:pPr>
        <w:ind w:right="20" w:firstLine="416"/>
        <w:spacing w:after="0" w:line="259" w:lineRule="auto"/>
        <w:rPr>
          <w:sz w:val="20"/>
          <w:szCs w:val="20"/>
          <w:color w:val="auto"/>
        </w:rPr>
      </w:pPr>
      <w:r>
        <w:rPr>
          <w:rFonts w:ascii="Times New Roman" w:cs="Times New Roman" w:eastAsia="Times New Roman" w:hAnsi="Times New Roman"/>
          <w:sz w:val="17"/>
          <w:szCs w:val="17"/>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Company’s Form S-3 dated July 19, 2024 and to the reference to our firm contained in the Prospectus under the heading “Legal Matters.” In giving such consent, we do not thereby admit that we are in the category of persons whose consent is required under Section 7 of the Act or the rules and regulations of the Commission thereunder.</w:t>
      </w:r>
    </w:p>
    <w:p>
      <w:pPr>
        <w:spacing w:after="0" w:line="200"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7"/>
          <w:szCs w:val="17"/>
          <w:color w:val="auto"/>
        </w:rPr>
        <w:t>Sincerely,</w:t>
      </w:r>
    </w:p>
    <w:p>
      <w:pPr>
        <w:spacing w:after="0" w:line="212"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7"/>
          <w:szCs w:val="17"/>
          <w:color w:val="auto"/>
        </w:rPr>
        <w:t>/s/ Latham &amp; Watkins LLP</w:t>
      </w:r>
    </w:p>
    <w:p>
      <w:pPr>
        <w:sectPr>
          <w:pgSz w:w="11900" w:h="16838" w:orient="portrait"/>
          <w:cols w:equalWidth="0" w:num="1">
            <w:col w:w="10340"/>
          </w:cols>
          <w:pgMar w:left="740" w:top="259" w:right="81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7"/>
          <w:szCs w:val="17"/>
          <w:b w:val="1"/>
          <w:bCs w:val="1"/>
          <w:color w:val="auto"/>
        </w:rPr>
        <w:t>Exhibit 23.2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Consent of Independent Registered Public Accounting Firm</w:t>
      </w:r>
    </w:p>
    <w:p>
      <w:pPr>
        <w:spacing w:after="0" w:line="212"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6"/>
          <w:szCs w:val="16"/>
          <w:color w:val="auto"/>
        </w:rPr>
        <w:t>We hereby consent to the incorporation by reference in the Prospectus constituting a part of this Registration Statement of our report dated April 1, 2024, relating to the consolidated financial statements of T2 Biosystems, Inc. (the Company) appearing in the Company’s Annual Report on Form 10-K for the year ended December 31, 2023. Our report contains an explanatory paragraph regarding the Company’s ability to continue as a going concern.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also consent to the reference to us under the caption “Experts” in the Prospectus.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BDO USA, PC</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Massachusetts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July 19, 2024</w:t>
      </w:r>
    </w:p>
    <w:p>
      <w:pPr>
        <w:sectPr>
          <w:pgSz w:w="11900" w:h="16838" w:orient="portrait"/>
          <w:cols w:equalWidth="0" w:num="1">
            <w:col w:w="10400"/>
          </w:cols>
          <w:pgMar w:left="740" w:top="119" w:right="759" w:bottom="1440" w:gutter="0" w:footer="0" w:header="0"/>
        </w:sectPr>
      </w:pPr>
    </w:p>
    <w:bookmarkStart w:id="175" w:name="page176"/>
    <w:bookmarkEnd w:id="175"/>
    <w:p>
      <w:pPr>
        <w:ind w:left="956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1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2"/>
          <w:szCs w:val="12"/>
          <w:b w:val="1"/>
          <w:bCs w:val="1"/>
          <w:color w:val="auto"/>
        </w:rPr>
        <w:t>CALCULATION OF FILING FEE TABLE</w:t>
      </w:r>
    </w:p>
    <w:p>
      <w:pPr>
        <w:spacing w:after="0" w:line="19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2"/>
          <w:szCs w:val="12"/>
          <w:b w:val="1"/>
          <w:bCs w:val="1"/>
          <w:color w:val="auto"/>
        </w:rPr>
        <w:t>Registration Statement on Form S-3</w:t>
      </w:r>
    </w:p>
    <w:p>
      <w:pPr>
        <w:spacing w:after="0" w:line="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2"/>
          <w:szCs w:val="12"/>
          <w:color w:val="auto"/>
        </w:rPr>
        <w:t>(Form Type)</w:t>
      </w:r>
    </w:p>
    <w:p>
      <w:pPr>
        <w:spacing w:after="0" w:line="17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2"/>
          <w:szCs w:val="12"/>
          <w:b w:val="1"/>
          <w:bCs w:val="1"/>
          <w:color w:val="auto"/>
        </w:rPr>
        <w:t>T2 Biosystems, Inc.</w:t>
      </w:r>
    </w:p>
    <w:p>
      <w:pPr>
        <w:spacing w:after="0" w:line="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7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2"/>
          <w:szCs w:val="12"/>
          <w:b w:val="1"/>
          <w:bCs w:val="1"/>
          <w:u w:val="single" w:color="auto"/>
          <w:color w:val="auto"/>
        </w:rPr>
        <w:t>Table 1 – Newly Registered and Carry Forward Securities</w:t>
      </w:r>
    </w:p>
    <w:p>
      <w:pPr>
        <w:spacing w:after="0" w:line="66" w:lineRule="exact"/>
        <w:rPr>
          <w:sz w:val="20"/>
          <w:szCs w:val="20"/>
          <w:color w:val="auto"/>
        </w:rPr>
      </w:pPr>
    </w:p>
    <w:tbl>
      <w:tblPr>
        <w:tblLayout w:type="fixed"/>
        <w:tblInd w:w="30" w:type="dxa"/>
        <w:tblCellMar>
          <w:top w:w="0" w:type="dxa"/>
          <w:left w:w="0" w:type="dxa"/>
          <w:bottom w:w="0" w:type="dxa"/>
          <w:right w:w="0" w:type="dxa"/>
        </w:tblCellMar>
      </w:tblPr>
      <w:tr>
        <w:trPr>
          <w:trHeight w:val="137"/>
        </w:trPr>
        <w:tc>
          <w:tcPr>
            <w:tcW w:w="900" w:type="dxa"/>
            <w:vAlign w:val="bottom"/>
            <w:tcBorders>
              <w:top w:val="single" w:sz="8" w:color="auto"/>
              <w:left w:val="single" w:sz="8" w:color="auto"/>
              <w:right w:val="single" w:sz="8" w:color="auto"/>
            </w:tcBorders>
          </w:tcPr>
          <w:p>
            <w:pPr>
              <w:spacing w:after="0"/>
              <w:rPr>
                <w:sz w:val="11"/>
                <w:szCs w:val="11"/>
                <w:color w:val="auto"/>
              </w:rPr>
            </w:pPr>
          </w:p>
        </w:tc>
        <w:tc>
          <w:tcPr>
            <w:tcW w:w="880" w:type="dxa"/>
            <w:vAlign w:val="bottom"/>
            <w:tcBorders>
              <w:top w:val="single" w:sz="8" w:color="auto"/>
              <w:right w:val="single" w:sz="8" w:color="auto"/>
            </w:tcBorders>
          </w:tcPr>
          <w:p>
            <w:pPr>
              <w:spacing w:after="0"/>
              <w:rPr>
                <w:sz w:val="11"/>
                <w:szCs w:val="11"/>
                <w:color w:val="auto"/>
              </w:rPr>
            </w:pPr>
          </w:p>
        </w:tc>
        <w:tc>
          <w:tcPr>
            <w:tcW w:w="1180" w:type="dxa"/>
            <w:vAlign w:val="bottom"/>
            <w:tcBorders>
              <w:top w:val="single" w:sz="8" w:color="auto"/>
              <w:right w:val="single" w:sz="8" w:color="auto"/>
            </w:tcBorders>
          </w:tcPr>
          <w:p>
            <w:pPr>
              <w:spacing w:after="0"/>
              <w:rPr>
                <w:sz w:val="11"/>
                <w:szCs w:val="11"/>
                <w:color w:val="auto"/>
              </w:rPr>
            </w:pPr>
          </w:p>
        </w:tc>
        <w:tc>
          <w:tcPr>
            <w:tcW w:w="720" w:type="dxa"/>
            <w:vAlign w:val="bottom"/>
            <w:tcBorders>
              <w:top w:val="single" w:sz="8" w:color="auto"/>
              <w:right w:val="single" w:sz="8" w:color="auto"/>
            </w:tcBorders>
          </w:tcPr>
          <w:p>
            <w:pPr>
              <w:spacing w:after="0"/>
              <w:rPr>
                <w:sz w:val="11"/>
                <w:szCs w:val="11"/>
                <w:color w:val="auto"/>
              </w:rPr>
            </w:pPr>
          </w:p>
        </w:tc>
        <w:tc>
          <w:tcPr>
            <w:tcW w:w="1140" w:type="dxa"/>
            <w:vAlign w:val="bottom"/>
            <w:tcBorders>
              <w:top w:val="single" w:sz="8" w:color="auto"/>
              <w:right w:val="single" w:sz="8" w:color="auto"/>
            </w:tcBorders>
          </w:tcPr>
          <w:p>
            <w:pPr>
              <w:spacing w:after="0"/>
              <w:rPr>
                <w:sz w:val="11"/>
                <w:szCs w:val="11"/>
                <w:color w:val="auto"/>
              </w:rPr>
            </w:pPr>
          </w:p>
        </w:tc>
        <w:tc>
          <w:tcPr>
            <w:tcW w:w="56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2"/>
                <w:szCs w:val="12"/>
                <w:color w:val="auto"/>
                <w:w w:val="98"/>
              </w:rPr>
              <w:t>Proposed</w:t>
            </w:r>
          </w:p>
        </w:tc>
        <w:tc>
          <w:tcPr>
            <w:tcW w:w="1160" w:type="dxa"/>
            <w:vAlign w:val="bottom"/>
            <w:tcBorders>
              <w:top w:val="single" w:sz="8" w:color="auto"/>
              <w:right w:val="single" w:sz="8" w:color="auto"/>
            </w:tcBorders>
          </w:tcPr>
          <w:p>
            <w:pPr>
              <w:spacing w:after="0"/>
              <w:rPr>
                <w:sz w:val="11"/>
                <w:szCs w:val="11"/>
                <w:color w:val="auto"/>
              </w:rPr>
            </w:pPr>
          </w:p>
        </w:tc>
        <w:tc>
          <w:tcPr>
            <w:tcW w:w="880" w:type="dxa"/>
            <w:vAlign w:val="bottom"/>
            <w:tcBorders>
              <w:top w:val="single" w:sz="8" w:color="auto"/>
              <w:right w:val="single" w:sz="8" w:color="auto"/>
            </w:tcBorders>
          </w:tcPr>
          <w:p>
            <w:pPr>
              <w:spacing w:after="0"/>
              <w:rPr>
                <w:sz w:val="11"/>
                <w:szCs w:val="11"/>
                <w:color w:val="auto"/>
              </w:rPr>
            </w:pPr>
          </w:p>
        </w:tc>
        <w:tc>
          <w:tcPr>
            <w:tcW w:w="820" w:type="dxa"/>
            <w:vAlign w:val="bottom"/>
            <w:tcBorders>
              <w:top w:val="single" w:sz="8" w:color="auto"/>
              <w:right w:val="single" w:sz="8" w:color="auto"/>
            </w:tcBorders>
          </w:tcPr>
          <w:p>
            <w:pPr>
              <w:spacing w:after="0"/>
              <w:rPr>
                <w:sz w:val="11"/>
                <w:szCs w:val="11"/>
                <w:color w:val="auto"/>
              </w:rPr>
            </w:pPr>
          </w:p>
        </w:tc>
        <w:tc>
          <w:tcPr>
            <w:tcW w:w="480" w:type="dxa"/>
            <w:vAlign w:val="bottom"/>
            <w:tcBorders>
              <w:top w:val="single" w:sz="8" w:color="auto"/>
              <w:right w:val="single" w:sz="8" w:color="auto"/>
            </w:tcBorders>
          </w:tcPr>
          <w:p>
            <w:pPr>
              <w:spacing w:after="0"/>
              <w:rPr>
                <w:sz w:val="11"/>
                <w:szCs w:val="11"/>
                <w:color w:val="auto"/>
              </w:rPr>
            </w:pPr>
          </w:p>
        </w:tc>
        <w:tc>
          <w:tcPr>
            <w:tcW w:w="560" w:type="dxa"/>
            <w:vAlign w:val="bottom"/>
            <w:tcBorders>
              <w:top w:val="single" w:sz="8" w:color="auto"/>
              <w:right w:val="single" w:sz="8" w:color="auto"/>
            </w:tcBorders>
          </w:tcPr>
          <w:p>
            <w:pPr>
              <w:spacing w:after="0"/>
              <w:rPr>
                <w:sz w:val="11"/>
                <w:szCs w:val="11"/>
                <w:color w:val="auto"/>
              </w:rPr>
            </w:pPr>
          </w:p>
        </w:tc>
        <w:tc>
          <w:tcPr>
            <w:tcW w:w="840" w:type="dxa"/>
            <w:vAlign w:val="bottom"/>
            <w:tcBorders>
              <w:top w:val="single" w:sz="8" w:color="auto"/>
              <w:right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2"/>
                <w:szCs w:val="12"/>
                <w:color w:val="auto"/>
              </w:rPr>
              <w:t>Filing Fee Prev</w:t>
            </w:r>
          </w:p>
        </w:tc>
        <w:tc>
          <w:tcPr>
            <w:tcW w:w="0" w:type="dxa"/>
            <w:vAlign w:val="bottom"/>
          </w:tcPr>
          <w:p>
            <w:pPr>
              <w:spacing w:after="0"/>
              <w:rPr>
                <w:sz w:val="1"/>
                <w:szCs w:val="1"/>
                <w:color w:val="auto"/>
              </w:rPr>
            </w:pPr>
          </w:p>
        </w:tc>
      </w:tr>
      <w:tr>
        <w:trPr>
          <w:trHeight w:val="127"/>
        </w:trPr>
        <w:tc>
          <w:tcPr>
            <w:tcW w:w="900" w:type="dxa"/>
            <w:vAlign w:val="bottom"/>
            <w:tcBorders>
              <w:left w:val="single" w:sz="8" w:color="auto"/>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2"/>
                <w:szCs w:val="12"/>
                <w:color w:val="auto"/>
              </w:rPr>
              <w:t>Fee</w:t>
            </w:r>
          </w:p>
        </w:tc>
        <w:tc>
          <w:tcPr>
            <w:tcW w:w="114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2"/>
                <w:szCs w:val="12"/>
                <w:color w:val="auto"/>
                <w:w w:val="99"/>
              </w:rPr>
              <w:t>Maximum</w:t>
            </w:r>
          </w:p>
        </w:tc>
        <w:tc>
          <w:tcPr>
            <w:tcW w:w="11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48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2"/>
                <w:szCs w:val="12"/>
                <w:color w:val="auto"/>
              </w:rPr>
              <w:t>Carry</w:t>
            </w:r>
          </w:p>
        </w:tc>
        <w:tc>
          <w:tcPr>
            <w:tcW w:w="56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2"/>
                <w:szCs w:val="12"/>
                <w:color w:val="auto"/>
              </w:rPr>
              <w:t>Carry</w:t>
            </w:r>
          </w:p>
        </w:tc>
        <w:tc>
          <w:tcPr>
            <w:tcW w:w="840" w:type="dxa"/>
            <w:vAlign w:val="bottom"/>
            <w:tcBorders>
              <w:right w:val="single" w:sz="8" w:color="auto"/>
            </w:tcBorders>
          </w:tcPr>
          <w:p>
            <w:pPr>
              <w:spacing w:after="0"/>
              <w:rPr>
                <w:sz w:val="11"/>
                <w:szCs w:val="11"/>
                <w:color w:val="auto"/>
              </w:rPr>
            </w:pPr>
          </w:p>
        </w:tc>
        <w:tc>
          <w:tcPr>
            <w:tcW w:w="7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Paid In Conne</w:t>
            </w:r>
          </w:p>
        </w:tc>
        <w:tc>
          <w:tcPr>
            <w:tcW w:w="0" w:type="dxa"/>
            <w:vAlign w:val="bottom"/>
          </w:tcPr>
          <w:p>
            <w:pPr>
              <w:spacing w:after="0"/>
              <w:rPr>
                <w:sz w:val="1"/>
                <w:szCs w:val="1"/>
                <w:color w:val="auto"/>
              </w:rPr>
            </w:pPr>
          </w:p>
        </w:tc>
      </w:tr>
      <w:tr>
        <w:trPr>
          <w:trHeight w:val="127"/>
        </w:trPr>
        <w:tc>
          <w:tcPr>
            <w:tcW w:w="900" w:type="dxa"/>
            <w:vAlign w:val="bottom"/>
            <w:tcBorders>
              <w:left w:val="single" w:sz="8" w:color="auto"/>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2"/>
                <w:szCs w:val="12"/>
                <w:color w:val="auto"/>
                <w:w w:val="97"/>
              </w:rPr>
              <w:t>Calculation</w:t>
            </w:r>
          </w:p>
        </w:tc>
        <w:tc>
          <w:tcPr>
            <w:tcW w:w="114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2"/>
                <w:szCs w:val="12"/>
                <w:color w:val="auto"/>
                <w:w w:val="96"/>
              </w:rPr>
              <w:t>Offering</w:t>
            </w:r>
          </w:p>
        </w:tc>
        <w:tc>
          <w:tcPr>
            <w:tcW w:w="11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2"/>
                <w:szCs w:val="12"/>
                <w:color w:val="auto"/>
                <w:w w:val="99"/>
              </w:rPr>
              <w:t>Amount of</w:t>
            </w:r>
          </w:p>
        </w:tc>
        <w:tc>
          <w:tcPr>
            <w:tcW w:w="48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2"/>
                <w:szCs w:val="12"/>
                <w:color w:val="auto"/>
                <w:w w:val="98"/>
              </w:rPr>
              <w:t>Forward</w:t>
            </w:r>
          </w:p>
        </w:tc>
        <w:tc>
          <w:tcPr>
            <w:tcW w:w="56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2"/>
                <w:szCs w:val="12"/>
                <w:color w:val="auto"/>
                <w:w w:val="98"/>
              </w:rPr>
              <w:t>Forward</w:t>
            </w:r>
          </w:p>
        </w:tc>
        <w:tc>
          <w:tcPr>
            <w:tcW w:w="84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2"/>
                <w:szCs w:val="12"/>
                <w:color w:val="auto"/>
                <w:w w:val="98"/>
              </w:rPr>
              <w:t>Carry Forward</w:t>
            </w:r>
          </w:p>
        </w:tc>
        <w:tc>
          <w:tcPr>
            <w:tcW w:w="7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with Unsol</w:t>
            </w:r>
          </w:p>
        </w:tc>
        <w:tc>
          <w:tcPr>
            <w:tcW w:w="0" w:type="dxa"/>
            <w:vAlign w:val="bottom"/>
          </w:tcPr>
          <w:p>
            <w:pPr>
              <w:spacing w:after="0"/>
              <w:rPr>
                <w:sz w:val="1"/>
                <w:szCs w:val="1"/>
                <w:color w:val="auto"/>
              </w:rPr>
            </w:pPr>
          </w:p>
        </w:tc>
      </w:tr>
      <w:tr>
        <w:trPr>
          <w:trHeight w:val="127"/>
        </w:trPr>
        <w:tc>
          <w:tcPr>
            <w:tcW w:w="900" w:type="dxa"/>
            <w:vAlign w:val="bottom"/>
            <w:tcBorders>
              <w:left w:val="single" w:sz="8" w:color="auto"/>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2"/>
                <w:szCs w:val="12"/>
                <w:color w:val="auto"/>
                <w:w w:val="99"/>
              </w:rPr>
              <w:t>or Carry</w:t>
            </w:r>
          </w:p>
        </w:tc>
        <w:tc>
          <w:tcPr>
            <w:tcW w:w="1140" w:type="dxa"/>
            <w:vAlign w:val="bottom"/>
            <w:tcBorders>
              <w:right w:val="single" w:sz="8" w:color="auto"/>
            </w:tcBorders>
          </w:tcPr>
          <w:p>
            <w:pPr>
              <w:jc w:val="right"/>
              <w:ind w:right="278"/>
              <w:spacing w:after="0" w:line="128" w:lineRule="exact"/>
              <w:rPr>
                <w:sz w:val="20"/>
                <w:szCs w:val="20"/>
                <w:color w:val="auto"/>
              </w:rPr>
            </w:pPr>
            <w:r>
              <w:rPr>
                <w:rFonts w:ascii="Times New Roman" w:cs="Times New Roman" w:eastAsia="Times New Roman" w:hAnsi="Times New Roman"/>
                <w:sz w:val="12"/>
                <w:szCs w:val="12"/>
                <w:color w:val="auto"/>
              </w:rPr>
              <w:t>Amount</w:t>
            </w:r>
          </w:p>
        </w:tc>
        <w:tc>
          <w:tcPr>
            <w:tcW w:w="56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2"/>
                <w:szCs w:val="12"/>
                <w:color w:val="auto"/>
              </w:rPr>
              <w:t>Price Per</w:t>
            </w:r>
          </w:p>
        </w:tc>
        <w:tc>
          <w:tcPr>
            <w:tcW w:w="116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2"/>
                <w:szCs w:val="12"/>
                <w:color w:val="auto"/>
                <w:w w:val="98"/>
              </w:rPr>
              <w:t>Maximum Aggregate</w:t>
            </w:r>
          </w:p>
        </w:tc>
        <w:tc>
          <w:tcPr>
            <w:tcW w:w="88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2"/>
                <w:szCs w:val="12"/>
                <w:color w:val="auto"/>
                <w:w w:val="98"/>
              </w:rPr>
              <w:t>Registration</w:t>
            </w:r>
          </w:p>
        </w:tc>
        <w:tc>
          <w:tcPr>
            <w:tcW w:w="48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2"/>
                <w:szCs w:val="12"/>
                <w:color w:val="auto"/>
                <w:w w:val="99"/>
              </w:rPr>
              <w:t>Form</w:t>
            </w:r>
          </w:p>
        </w:tc>
        <w:tc>
          <w:tcPr>
            <w:tcW w:w="56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2"/>
                <w:szCs w:val="12"/>
                <w:color w:val="auto"/>
                <w:w w:val="96"/>
              </w:rPr>
              <w:t>File</w:t>
            </w:r>
          </w:p>
        </w:tc>
        <w:tc>
          <w:tcPr>
            <w:tcW w:w="84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2"/>
                <w:szCs w:val="12"/>
                <w:color w:val="auto"/>
                <w:w w:val="97"/>
              </w:rPr>
              <w:t>Initial Effective</w:t>
            </w:r>
          </w:p>
        </w:tc>
        <w:tc>
          <w:tcPr>
            <w:tcW w:w="7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Securities to</w:t>
            </w:r>
          </w:p>
        </w:tc>
        <w:tc>
          <w:tcPr>
            <w:tcW w:w="0" w:type="dxa"/>
            <w:vAlign w:val="bottom"/>
          </w:tcPr>
          <w:p>
            <w:pPr>
              <w:spacing w:after="0"/>
              <w:rPr>
                <w:sz w:val="1"/>
                <w:szCs w:val="1"/>
                <w:color w:val="auto"/>
              </w:rPr>
            </w:pPr>
          </w:p>
        </w:tc>
      </w:tr>
      <w:tr>
        <w:trPr>
          <w:trHeight w:val="155"/>
        </w:trPr>
        <w:tc>
          <w:tcPr>
            <w:tcW w:w="900" w:type="dxa"/>
            <w:vAlign w:val="bottom"/>
            <w:tcBorders>
              <w:left w:val="single" w:sz="8" w:color="auto"/>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Security Type</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Security Class Title</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Forward Rule</w:t>
            </w:r>
          </w:p>
        </w:tc>
        <w:tc>
          <w:tcPr>
            <w:tcW w:w="1140" w:type="dxa"/>
            <w:vAlign w:val="bottom"/>
            <w:tcBorders>
              <w:bottom w:val="single" w:sz="8" w:color="auto"/>
              <w:right w:val="single" w:sz="8" w:color="auto"/>
            </w:tcBorders>
          </w:tcPr>
          <w:p>
            <w:pPr>
              <w:jc w:val="right"/>
              <w:ind w:right="218"/>
              <w:spacing w:after="0"/>
              <w:rPr>
                <w:sz w:val="20"/>
                <w:szCs w:val="20"/>
                <w:color w:val="auto"/>
              </w:rPr>
            </w:pPr>
            <w:r>
              <w:rPr>
                <w:rFonts w:ascii="Times New Roman" w:cs="Times New Roman" w:eastAsia="Times New Roman" w:hAnsi="Times New Roman"/>
                <w:sz w:val="12"/>
                <w:szCs w:val="12"/>
                <w:color w:val="auto"/>
              </w:rPr>
              <w:t>Registered</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Unit</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Offering Price</w:t>
            </w:r>
          </w:p>
        </w:tc>
        <w:tc>
          <w:tcPr>
            <w:tcW w:w="88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2"/>
                <w:szCs w:val="12"/>
                <w:color w:val="auto"/>
              </w:rPr>
              <w:t>Fee Rate</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Fee</w:t>
            </w:r>
          </w:p>
        </w:tc>
        <w:tc>
          <w:tcPr>
            <w:tcW w:w="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Type</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Number</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Date</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Carried Forw</w:t>
            </w:r>
          </w:p>
        </w:tc>
        <w:tc>
          <w:tcPr>
            <w:tcW w:w="0" w:type="dxa"/>
            <w:vAlign w:val="bottom"/>
          </w:tcPr>
          <w:p>
            <w:pPr>
              <w:spacing w:after="0"/>
              <w:rPr>
                <w:sz w:val="1"/>
                <w:szCs w:val="1"/>
                <w:color w:val="auto"/>
              </w:rPr>
            </w:pPr>
          </w:p>
        </w:tc>
      </w:tr>
      <w:tr>
        <w:trPr>
          <w:trHeight w:val="218"/>
        </w:trPr>
        <w:tc>
          <w:tcPr>
            <w:tcW w:w="900" w:type="dxa"/>
            <w:vAlign w:val="bottom"/>
            <w:tcBorders>
              <w:left w:val="single" w:sz="8" w:color="auto"/>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4"/>
          </w:tcPr>
          <w:p>
            <w:pPr>
              <w:jc w:val="center"/>
              <w:ind w:left="138"/>
              <w:spacing w:after="0"/>
              <w:rPr>
                <w:sz w:val="20"/>
                <w:szCs w:val="20"/>
                <w:color w:val="auto"/>
              </w:rPr>
            </w:pPr>
            <w:r>
              <w:rPr>
                <w:rFonts w:ascii="Times New Roman" w:cs="Times New Roman" w:eastAsia="Times New Roman" w:hAnsi="Times New Roman"/>
                <w:sz w:val="17"/>
                <w:szCs w:val="17"/>
                <w:color w:val="auto"/>
                <w:w w:val="99"/>
              </w:rPr>
              <w:t>Newly Registered Securities</w:t>
            </w:r>
          </w:p>
        </w:tc>
        <w:tc>
          <w:tcPr>
            <w:tcW w:w="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00" w:type="dxa"/>
            <w:vAlign w:val="bottom"/>
            <w:tcBorders>
              <w:left w:val="single" w:sz="8" w:color="auto"/>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Common Stock,</w:t>
            </w:r>
          </w:p>
        </w:tc>
        <w:tc>
          <w:tcPr>
            <w:tcW w:w="72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00" w:type="dxa"/>
            <w:vAlign w:val="bottom"/>
            <w:tcBorders>
              <w:left w:val="single" w:sz="8" w:color="auto"/>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$0.001 par</w:t>
            </w:r>
          </w:p>
        </w:tc>
        <w:tc>
          <w:tcPr>
            <w:tcW w:w="72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00" w:type="dxa"/>
            <w:vAlign w:val="bottom"/>
            <w:tcBorders>
              <w:left w:val="single" w:sz="8" w:color="auto"/>
              <w:right w:val="single" w:sz="8" w:color="auto"/>
            </w:tcBorders>
          </w:tcPr>
          <w:p>
            <w:pPr>
              <w:jc w:val="center"/>
              <w:ind w:left="15"/>
              <w:spacing w:after="0"/>
              <w:rPr>
                <w:sz w:val="20"/>
                <w:szCs w:val="20"/>
                <w:color w:val="auto"/>
              </w:rPr>
            </w:pPr>
            <w:r>
              <w:rPr>
                <w:rFonts w:ascii="Times New Roman" w:cs="Times New Roman" w:eastAsia="Times New Roman" w:hAnsi="Times New Roman"/>
                <w:sz w:val="17"/>
                <w:szCs w:val="17"/>
                <w:color w:val="auto"/>
                <w:w w:val="95"/>
              </w:rPr>
              <w:t>Fees To</w:t>
            </w:r>
          </w:p>
        </w:tc>
        <w:tc>
          <w:tcPr>
            <w:tcW w:w="88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value per</w:t>
            </w:r>
          </w:p>
        </w:tc>
        <w:tc>
          <w:tcPr>
            <w:tcW w:w="72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900" w:type="dxa"/>
            <w:vAlign w:val="bottom"/>
            <w:tcBorders>
              <w:left w:val="single" w:sz="8" w:color="auto"/>
              <w:bottom w:val="single" w:sz="8" w:color="auto"/>
              <w:right w:val="single" w:sz="8" w:color="auto"/>
            </w:tcBorders>
          </w:tcPr>
          <w:p>
            <w:pPr>
              <w:jc w:val="center"/>
              <w:ind w:left="15"/>
              <w:spacing w:after="0"/>
              <w:rPr>
                <w:sz w:val="20"/>
                <w:szCs w:val="20"/>
                <w:color w:val="auto"/>
              </w:rPr>
            </w:pPr>
            <w:r>
              <w:rPr>
                <w:rFonts w:ascii="Times New Roman" w:cs="Times New Roman" w:eastAsia="Times New Roman" w:hAnsi="Times New Roman"/>
                <w:sz w:val="17"/>
                <w:szCs w:val="17"/>
                <w:color w:val="auto"/>
                <w:w w:val="97"/>
              </w:rPr>
              <w:t>Be Paid</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Equity</w:t>
            </w:r>
          </w:p>
        </w:tc>
        <w:tc>
          <w:tcPr>
            <w:tcW w:w="1180" w:type="dxa"/>
            <w:vAlign w:val="bottom"/>
            <w:tcBorders>
              <w:bottom w:val="single" w:sz="8" w:color="auto"/>
              <w:right w:val="single" w:sz="8" w:color="auto"/>
            </w:tcBorders>
          </w:tcPr>
          <w:p>
            <w:pPr>
              <w:jc w:val="center"/>
              <w:spacing w:after="0" w:line="233" w:lineRule="exact"/>
              <w:rPr>
                <w:sz w:val="20"/>
                <w:szCs w:val="20"/>
                <w:color w:val="auto"/>
              </w:rPr>
            </w:pPr>
            <w:r>
              <w:rPr>
                <w:rFonts w:ascii="Times New Roman" w:cs="Times New Roman" w:eastAsia="Times New Roman" w:hAnsi="Times New Roman"/>
                <w:sz w:val="17"/>
                <w:szCs w:val="17"/>
                <w:color w:val="auto"/>
                <w:w w:val="90"/>
              </w:rPr>
              <w:t>share</w:t>
            </w:r>
            <w:r>
              <w:rPr>
                <w:rFonts w:ascii="Times New Roman" w:cs="Times New Roman" w:eastAsia="Times New Roman" w:hAnsi="Times New Roman"/>
                <w:sz w:val="25"/>
                <w:szCs w:val="25"/>
                <w:color w:val="auto"/>
                <w:w w:val="90"/>
                <w:vertAlign w:val="superscript"/>
              </w:rPr>
              <w:t>(1)</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900" w:type="dxa"/>
            <w:vAlign w:val="bottom"/>
            <w:tcBorders>
              <w:left w:val="single" w:sz="8" w:color="auto"/>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9"/>
              </w:rPr>
              <w:t>Preferred Stock,</w:t>
            </w:r>
          </w:p>
        </w:tc>
        <w:tc>
          <w:tcPr>
            <w:tcW w:w="72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900" w:type="dxa"/>
            <w:vAlign w:val="bottom"/>
            <w:tcBorders>
              <w:left w:val="single" w:sz="8" w:color="auto"/>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$0.001 par</w:t>
            </w:r>
          </w:p>
        </w:tc>
        <w:tc>
          <w:tcPr>
            <w:tcW w:w="72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00" w:type="dxa"/>
            <w:vAlign w:val="bottom"/>
            <w:tcBorders>
              <w:left w:val="single" w:sz="8" w:color="auto"/>
              <w:right w:val="single" w:sz="8" w:color="auto"/>
            </w:tcBorders>
          </w:tcPr>
          <w:p>
            <w:pPr>
              <w:jc w:val="center"/>
              <w:ind w:left="15"/>
              <w:spacing w:after="0"/>
              <w:rPr>
                <w:sz w:val="20"/>
                <w:szCs w:val="20"/>
                <w:color w:val="auto"/>
              </w:rPr>
            </w:pPr>
            <w:r>
              <w:rPr>
                <w:rFonts w:ascii="Times New Roman" w:cs="Times New Roman" w:eastAsia="Times New Roman" w:hAnsi="Times New Roman"/>
                <w:sz w:val="17"/>
                <w:szCs w:val="17"/>
                <w:color w:val="auto"/>
                <w:w w:val="95"/>
              </w:rPr>
              <w:t>Fees To</w:t>
            </w:r>
          </w:p>
        </w:tc>
        <w:tc>
          <w:tcPr>
            <w:tcW w:w="88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value per</w:t>
            </w:r>
          </w:p>
        </w:tc>
        <w:tc>
          <w:tcPr>
            <w:tcW w:w="72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900" w:type="dxa"/>
            <w:vAlign w:val="bottom"/>
            <w:tcBorders>
              <w:left w:val="single" w:sz="8" w:color="auto"/>
              <w:bottom w:val="single" w:sz="8" w:color="auto"/>
              <w:right w:val="single" w:sz="8" w:color="auto"/>
            </w:tcBorders>
          </w:tcPr>
          <w:p>
            <w:pPr>
              <w:jc w:val="center"/>
              <w:ind w:left="15"/>
              <w:spacing w:after="0"/>
              <w:rPr>
                <w:sz w:val="20"/>
                <w:szCs w:val="20"/>
                <w:color w:val="auto"/>
              </w:rPr>
            </w:pPr>
            <w:r>
              <w:rPr>
                <w:rFonts w:ascii="Times New Roman" w:cs="Times New Roman" w:eastAsia="Times New Roman" w:hAnsi="Times New Roman"/>
                <w:sz w:val="17"/>
                <w:szCs w:val="17"/>
                <w:color w:val="auto"/>
                <w:w w:val="97"/>
              </w:rPr>
              <w:t>Be Paid</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Equity</w:t>
            </w:r>
          </w:p>
        </w:tc>
        <w:tc>
          <w:tcPr>
            <w:tcW w:w="1180" w:type="dxa"/>
            <w:vAlign w:val="bottom"/>
            <w:tcBorders>
              <w:bottom w:val="single" w:sz="8" w:color="auto"/>
              <w:right w:val="single" w:sz="8" w:color="auto"/>
            </w:tcBorders>
          </w:tcPr>
          <w:p>
            <w:pPr>
              <w:jc w:val="center"/>
              <w:spacing w:after="0" w:line="233" w:lineRule="exact"/>
              <w:rPr>
                <w:sz w:val="20"/>
                <w:szCs w:val="20"/>
                <w:color w:val="auto"/>
              </w:rPr>
            </w:pPr>
            <w:r>
              <w:rPr>
                <w:rFonts w:ascii="Times New Roman" w:cs="Times New Roman" w:eastAsia="Times New Roman" w:hAnsi="Times New Roman"/>
                <w:sz w:val="17"/>
                <w:szCs w:val="17"/>
                <w:color w:val="auto"/>
                <w:w w:val="90"/>
              </w:rPr>
              <w:t>share</w:t>
            </w:r>
            <w:r>
              <w:rPr>
                <w:rFonts w:ascii="Times New Roman" w:cs="Times New Roman" w:eastAsia="Times New Roman" w:hAnsi="Times New Roman"/>
                <w:sz w:val="25"/>
                <w:szCs w:val="25"/>
                <w:color w:val="auto"/>
                <w:w w:val="90"/>
                <w:vertAlign w:val="superscript"/>
              </w:rPr>
              <w:t>(1)</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900" w:type="dxa"/>
            <w:vAlign w:val="bottom"/>
            <w:tcBorders>
              <w:left w:val="single" w:sz="8" w:color="auto"/>
              <w:right w:val="single" w:sz="8" w:color="auto"/>
            </w:tcBorders>
          </w:tcPr>
          <w:p>
            <w:pPr>
              <w:jc w:val="center"/>
              <w:ind w:left="15"/>
              <w:spacing w:after="0" w:line="193" w:lineRule="exact"/>
              <w:rPr>
                <w:sz w:val="20"/>
                <w:szCs w:val="20"/>
                <w:color w:val="auto"/>
              </w:rPr>
            </w:pPr>
            <w:r>
              <w:rPr>
                <w:rFonts w:ascii="Times New Roman" w:cs="Times New Roman" w:eastAsia="Times New Roman" w:hAnsi="Times New Roman"/>
                <w:sz w:val="17"/>
                <w:szCs w:val="17"/>
                <w:color w:val="auto"/>
                <w:w w:val="95"/>
              </w:rPr>
              <w:t>Fees To</w:t>
            </w:r>
          </w:p>
        </w:tc>
        <w:tc>
          <w:tcPr>
            <w:tcW w:w="88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900" w:type="dxa"/>
            <w:vAlign w:val="bottom"/>
            <w:tcBorders>
              <w:left w:val="single" w:sz="8" w:color="auto"/>
              <w:bottom w:val="single" w:sz="8" w:color="auto"/>
              <w:right w:val="single" w:sz="8" w:color="auto"/>
            </w:tcBorders>
          </w:tcPr>
          <w:p>
            <w:pPr>
              <w:jc w:val="center"/>
              <w:ind w:left="15"/>
              <w:spacing w:after="0"/>
              <w:rPr>
                <w:sz w:val="20"/>
                <w:szCs w:val="20"/>
                <w:color w:val="auto"/>
              </w:rPr>
            </w:pPr>
            <w:r>
              <w:rPr>
                <w:rFonts w:ascii="Times New Roman" w:cs="Times New Roman" w:eastAsia="Times New Roman" w:hAnsi="Times New Roman"/>
                <w:sz w:val="17"/>
                <w:szCs w:val="17"/>
                <w:color w:val="auto"/>
                <w:w w:val="97"/>
              </w:rPr>
              <w:t>Be Paid</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Debt</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Debt Securities</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900" w:type="dxa"/>
            <w:vAlign w:val="bottom"/>
            <w:tcBorders>
              <w:left w:val="single" w:sz="8" w:color="auto"/>
              <w:right w:val="single" w:sz="8" w:color="auto"/>
            </w:tcBorders>
          </w:tcPr>
          <w:p>
            <w:pPr>
              <w:jc w:val="center"/>
              <w:ind w:left="15"/>
              <w:spacing w:after="0"/>
              <w:rPr>
                <w:sz w:val="20"/>
                <w:szCs w:val="20"/>
                <w:color w:val="auto"/>
              </w:rPr>
            </w:pPr>
            <w:r>
              <w:rPr>
                <w:rFonts w:ascii="Times New Roman" w:cs="Times New Roman" w:eastAsia="Times New Roman" w:hAnsi="Times New Roman"/>
                <w:sz w:val="17"/>
                <w:szCs w:val="17"/>
                <w:color w:val="auto"/>
                <w:w w:val="95"/>
              </w:rPr>
              <w:t>Fees To</w:t>
            </w:r>
          </w:p>
        </w:tc>
        <w:tc>
          <w:tcPr>
            <w:tcW w:w="88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900" w:type="dxa"/>
            <w:vAlign w:val="bottom"/>
            <w:tcBorders>
              <w:left w:val="single" w:sz="8" w:color="auto"/>
              <w:bottom w:val="single" w:sz="8" w:color="auto"/>
              <w:right w:val="single" w:sz="8" w:color="auto"/>
            </w:tcBorders>
          </w:tcPr>
          <w:p>
            <w:pPr>
              <w:jc w:val="center"/>
              <w:ind w:left="15"/>
              <w:spacing w:after="0"/>
              <w:rPr>
                <w:sz w:val="20"/>
                <w:szCs w:val="20"/>
                <w:color w:val="auto"/>
              </w:rPr>
            </w:pPr>
            <w:r>
              <w:rPr>
                <w:rFonts w:ascii="Times New Roman" w:cs="Times New Roman" w:eastAsia="Times New Roman" w:hAnsi="Times New Roman"/>
                <w:sz w:val="17"/>
                <w:szCs w:val="17"/>
                <w:color w:val="auto"/>
                <w:w w:val="97"/>
              </w:rPr>
              <w:t>Be Paid</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Other</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Warrants</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900" w:type="dxa"/>
            <w:vAlign w:val="bottom"/>
            <w:tcBorders>
              <w:left w:val="single" w:sz="8" w:color="auto"/>
              <w:right w:val="single" w:sz="8" w:color="auto"/>
            </w:tcBorders>
          </w:tcPr>
          <w:p>
            <w:pPr>
              <w:jc w:val="center"/>
              <w:ind w:left="15"/>
              <w:spacing w:after="0"/>
              <w:rPr>
                <w:sz w:val="20"/>
                <w:szCs w:val="20"/>
                <w:color w:val="auto"/>
              </w:rPr>
            </w:pPr>
            <w:r>
              <w:rPr>
                <w:rFonts w:ascii="Times New Roman" w:cs="Times New Roman" w:eastAsia="Times New Roman" w:hAnsi="Times New Roman"/>
                <w:sz w:val="17"/>
                <w:szCs w:val="17"/>
                <w:color w:val="auto"/>
                <w:w w:val="95"/>
              </w:rPr>
              <w:t>Fees To</w:t>
            </w:r>
          </w:p>
        </w:tc>
        <w:tc>
          <w:tcPr>
            <w:tcW w:w="88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900" w:type="dxa"/>
            <w:vAlign w:val="bottom"/>
            <w:tcBorders>
              <w:left w:val="single" w:sz="8" w:color="auto"/>
              <w:bottom w:val="single" w:sz="8" w:color="auto"/>
              <w:right w:val="single" w:sz="8" w:color="auto"/>
            </w:tcBorders>
          </w:tcPr>
          <w:p>
            <w:pPr>
              <w:jc w:val="center"/>
              <w:ind w:left="15"/>
              <w:spacing w:after="0"/>
              <w:rPr>
                <w:sz w:val="20"/>
                <w:szCs w:val="20"/>
                <w:color w:val="auto"/>
              </w:rPr>
            </w:pPr>
            <w:r>
              <w:rPr>
                <w:rFonts w:ascii="Times New Roman" w:cs="Times New Roman" w:eastAsia="Times New Roman" w:hAnsi="Times New Roman"/>
                <w:sz w:val="17"/>
                <w:szCs w:val="17"/>
                <w:color w:val="auto"/>
                <w:w w:val="97"/>
              </w:rPr>
              <w:t>Be Paid</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Other</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Units</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900" w:type="dxa"/>
            <w:vAlign w:val="bottom"/>
            <w:tcBorders>
              <w:left w:val="single" w:sz="8" w:color="auto"/>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Unallocated</w:t>
            </w:r>
          </w:p>
        </w:tc>
        <w:tc>
          <w:tcPr>
            <w:tcW w:w="118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900" w:type="dxa"/>
            <w:vAlign w:val="bottom"/>
            <w:tcBorders>
              <w:left w:val="single" w:sz="8" w:color="auto"/>
              <w:right w:val="single" w:sz="8" w:color="auto"/>
            </w:tcBorders>
          </w:tcPr>
          <w:p>
            <w:pPr>
              <w:jc w:val="center"/>
              <w:ind w:left="15"/>
              <w:spacing w:after="0"/>
              <w:rPr>
                <w:sz w:val="20"/>
                <w:szCs w:val="20"/>
                <w:color w:val="auto"/>
              </w:rPr>
            </w:pPr>
            <w:r>
              <w:rPr>
                <w:rFonts w:ascii="Times New Roman" w:cs="Times New Roman" w:eastAsia="Times New Roman" w:hAnsi="Times New Roman"/>
                <w:sz w:val="17"/>
                <w:szCs w:val="17"/>
                <w:color w:val="auto"/>
                <w:w w:val="95"/>
              </w:rPr>
              <w:t>Fees To</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(Universal</w:t>
            </w:r>
          </w:p>
        </w:tc>
        <w:tc>
          <w:tcPr>
            <w:tcW w:w="1180" w:type="dxa"/>
            <w:vAlign w:val="bottom"/>
            <w:tcBorders>
              <w:right w:val="single" w:sz="8" w:color="auto"/>
            </w:tcBorders>
          </w:tcPr>
          <w:p>
            <w:pPr>
              <w:spacing w:after="0"/>
              <w:rPr>
                <w:sz w:val="20"/>
                <w:szCs w:val="20"/>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457(o)</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5"/>
              </w:rPr>
              <w:t>$150,000,000</w:t>
            </w:r>
            <w:r>
              <w:rPr>
                <w:rFonts w:ascii="Times New Roman" w:cs="Times New Roman" w:eastAsia="Times New Roman" w:hAnsi="Times New Roman"/>
                <w:sz w:val="25"/>
                <w:szCs w:val="25"/>
                <w:color w:val="auto"/>
                <w:w w:val="95"/>
                <w:vertAlign w:val="superscript"/>
              </w:rPr>
              <w:t>(3)</w:t>
            </w: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160" w:type="dxa"/>
            <w:vAlign w:val="bottom"/>
            <w:tcBorders>
              <w:right w:val="single" w:sz="8" w:color="auto"/>
            </w:tcBorders>
          </w:tcPr>
          <w:p>
            <w:pPr>
              <w:jc w:val="center"/>
              <w:spacing w:after="0" w:line="233" w:lineRule="exact"/>
              <w:rPr>
                <w:sz w:val="20"/>
                <w:szCs w:val="20"/>
                <w:color w:val="auto"/>
              </w:rPr>
            </w:pPr>
            <w:r>
              <w:rPr>
                <w:rFonts w:ascii="Times New Roman" w:cs="Times New Roman" w:eastAsia="Times New Roman" w:hAnsi="Times New Roman"/>
                <w:sz w:val="17"/>
                <w:szCs w:val="17"/>
                <w:color w:val="auto"/>
                <w:w w:val="95"/>
              </w:rPr>
              <w:t>$94,134,235</w:t>
            </w:r>
            <w:r>
              <w:rPr>
                <w:rFonts w:ascii="Times New Roman" w:cs="Times New Roman" w:eastAsia="Times New Roman" w:hAnsi="Times New Roman"/>
                <w:sz w:val="25"/>
                <w:szCs w:val="25"/>
                <w:color w:val="auto"/>
                <w:w w:val="95"/>
                <w:vertAlign w:val="superscript"/>
              </w:rPr>
              <w:t>(3)</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0.00014760</w:t>
            </w: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$13,894.22</w:t>
            </w:r>
          </w:p>
        </w:tc>
        <w:tc>
          <w:tcPr>
            <w:tcW w:w="48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900" w:type="dxa"/>
            <w:vAlign w:val="bottom"/>
            <w:tcBorders>
              <w:left w:val="single" w:sz="8" w:color="auto"/>
              <w:bottom w:val="single" w:sz="8" w:color="auto"/>
              <w:right w:val="single" w:sz="8" w:color="auto"/>
            </w:tcBorders>
          </w:tcPr>
          <w:p>
            <w:pPr>
              <w:jc w:val="center"/>
              <w:ind w:left="15"/>
              <w:spacing w:after="0"/>
              <w:rPr>
                <w:sz w:val="20"/>
                <w:szCs w:val="20"/>
                <w:color w:val="auto"/>
              </w:rPr>
            </w:pPr>
            <w:r>
              <w:rPr>
                <w:rFonts w:ascii="Times New Roman" w:cs="Times New Roman" w:eastAsia="Times New Roman" w:hAnsi="Times New Roman"/>
                <w:sz w:val="17"/>
                <w:szCs w:val="17"/>
                <w:color w:val="auto"/>
                <w:w w:val="97"/>
              </w:rPr>
              <w:t>Be Paid</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Shelf)</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(2)</w:t>
            </w:r>
          </w:p>
        </w:tc>
        <w:tc>
          <w:tcPr>
            <w:tcW w:w="720" w:type="dxa"/>
            <w:vAlign w:val="bottom"/>
            <w:tcBorders>
              <w:bottom w:val="single" w:sz="8" w:color="auto"/>
              <w:right w:val="single" w:sz="8" w:color="auto"/>
            </w:tcBorders>
            <w:vMerge w:val="continue"/>
          </w:tcPr>
          <w:p>
            <w:pPr>
              <w:spacing w:after="0"/>
              <w:rPr>
                <w:sz w:val="17"/>
                <w:szCs w:val="17"/>
                <w:color w:val="auto"/>
              </w:rPr>
            </w:pPr>
          </w:p>
        </w:tc>
        <w:tc>
          <w:tcPr>
            <w:tcW w:w="1140" w:type="dxa"/>
            <w:vAlign w:val="bottom"/>
            <w:tcBorders>
              <w:bottom w:val="single" w:sz="8" w:color="auto"/>
              <w:right w:val="single" w:sz="8" w:color="auto"/>
            </w:tcBorders>
            <w:vMerge w:val="continue"/>
          </w:tcPr>
          <w:p>
            <w:pPr>
              <w:spacing w:after="0"/>
              <w:rPr>
                <w:sz w:val="17"/>
                <w:szCs w:val="17"/>
                <w:color w:val="auto"/>
              </w:rPr>
            </w:pPr>
          </w:p>
        </w:tc>
        <w:tc>
          <w:tcPr>
            <w:tcW w:w="560" w:type="dxa"/>
            <w:vAlign w:val="bottom"/>
            <w:tcBorders>
              <w:bottom w:val="single" w:sz="8" w:color="auto"/>
              <w:right w:val="single" w:sz="8" w:color="auto"/>
            </w:tcBorders>
            <w:vMerge w:val="continue"/>
          </w:tcPr>
          <w:p>
            <w:pPr>
              <w:spacing w:after="0"/>
              <w:rPr>
                <w:sz w:val="17"/>
                <w:szCs w:val="17"/>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(4)</w:t>
            </w:r>
          </w:p>
        </w:tc>
        <w:tc>
          <w:tcPr>
            <w:tcW w:w="880" w:type="dxa"/>
            <w:vAlign w:val="bottom"/>
            <w:tcBorders>
              <w:bottom w:val="single" w:sz="8" w:color="auto"/>
              <w:right w:val="single" w:sz="8" w:color="auto"/>
            </w:tcBorders>
            <w:vMerge w:val="continue"/>
          </w:tcPr>
          <w:p>
            <w:pPr>
              <w:spacing w:after="0"/>
              <w:rPr>
                <w:sz w:val="17"/>
                <w:szCs w:val="17"/>
                <w:color w:val="auto"/>
              </w:rPr>
            </w:pPr>
          </w:p>
        </w:tc>
        <w:tc>
          <w:tcPr>
            <w:tcW w:w="820" w:type="dxa"/>
            <w:vAlign w:val="bottom"/>
            <w:tcBorders>
              <w:bottom w:val="single" w:sz="8" w:color="auto"/>
              <w:right w:val="single" w:sz="8" w:color="auto"/>
            </w:tcBorders>
            <w:vMerge w:val="continue"/>
          </w:tcPr>
          <w:p>
            <w:pPr>
              <w:spacing w:after="0"/>
              <w:rPr>
                <w:sz w:val="17"/>
                <w:szCs w:val="17"/>
                <w:color w:val="auto"/>
              </w:rPr>
            </w:pPr>
          </w:p>
        </w:tc>
        <w:tc>
          <w:tcPr>
            <w:tcW w:w="48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900" w:type="dxa"/>
            <w:vAlign w:val="bottom"/>
            <w:tcBorders>
              <w:left w:val="single" w:sz="8" w:color="auto"/>
              <w:right w:val="single" w:sz="8" w:color="auto"/>
            </w:tcBorders>
          </w:tcPr>
          <w:p>
            <w:pPr>
              <w:jc w:val="center"/>
              <w:ind w:left="15"/>
              <w:spacing w:after="0" w:line="193" w:lineRule="exact"/>
              <w:rPr>
                <w:sz w:val="20"/>
                <w:szCs w:val="20"/>
                <w:color w:val="auto"/>
              </w:rPr>
            </w:pPr>
            <w:r>
              <w:rPr>
                <w:rFonts w:ascii="Times New Roman" w:cs="Times New Roman" w:eastAsia="Times New Roman" w:hAnsi="Times New Roman"/>
                <w:sz w:val="17"/>
                <w:szCs w:val="17"/>
                <w:color w:val="auto"/>
              </w:rPr>
              <w:t>Fees</w:t>
            </w:r>
          </w:p>
        </w:tc>
        <w:tc>
          <w:tcPr>
            <w:tcW w:w="88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900" w:type="dxa"/>
            <w:vAlign w:val="bottom"/>
            <w:tcBorders>
              <w:left w:val="single" w:sz="8" w:color="auto"/>
              <w:right w:val="single" w:sz="8" w:color="auto"/>
            </w:tcBorders>
          </w:tcPr>
          <w:p>
            <w:pPr>
              <w:jc w:val="center"/>
              <w:ind w:left="15"/>
              <w:spacing w:after="0"/>
              <w:rPr>
                <w:sz w:val="20"/>
                <w:szCs w:val="20"/>
                <w:color w:val="auto"/>
              </w:rPr>
            </w:pPr>
            <w:r>
              <w:rPr>
                <w:rFonts w:ascii="Times New Roman" w:cs="Times New Roman" w:eastAsia="Times New Roman" w:hAnsi="Times New Roman"/>
                <w:sz w:val="17"/>
                <w:szCs w:val="17"/>
                <w:color w:val="auto"/>
                <w:w w:val="98"/>
              </w:rPr>
              <w:t>Previously</w:t>
            </w:r>
          </w:p>
        </w:tc>
        <w:tc>
          <w:tcPr>
            <w:tcW w:w="88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900" w:type="dxa"/>
            <w:vAlign w:val="bottom"/>
            <w:tcBorders>
              <w:left w:val="single" w:sz="8" w:color="auto"/>
              <w:bottom w:val="single" w:sz="8" w:color="auto"/>
              <w:right w:val="single" w:sz="8" w:color="auto"/>
            </w:tcBorders>
          </w:tcPr>
          <w:p>
            <w:pPr>
              <w:jc w:val="center"/>
              <w:ind w:left="35"/>
              <w:spacing w:after="0"/>
              <w:rPr>
                <w:sz w:val="20"/>
                <w:szCs w:val="20"/>
                <w:color w:val="auto"/>
              </w:rPr>
            </w:pPr>
            <w:r>
              <w:rPr>
                <w:rFonts w:ascii="Times New Roman" w:cs="Times New Roman" w:eastAsia="Times New Roman" w:hAnsi="Times New Roman"/>
                <w:sz w:val="17"/>
                <w:szCs w:val="17"/>
                <w:color w:val="auto"/>
                <w:w w:val="99"/>
              </w:rPr>
              <w:t>Paid</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00" w:type="dxa"/>
            <w:vAlign w:val="bottom"/>
            <w:tcBorders>
              <w:left w:val="single" w:sz="8" w:color="auto"/>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3"/>
          </w:tcPr>
          <w:p>
            <w:pPr>
              <w:jc w:val="center"/>
              <w:ind w:left="1018"/>
              <w:spacing w:after="0"/>
              <w:rPr>
                <w:sz w:val="20"/>
                <w:szCs w:val="20"/>
                <w:color w:val="auto"/>
              </w:rPr>
            </w:pPr>
            <w:r>
              <w:rPr>
                <w:rFonts w:ascii="Times New Roman" w:cs="Times New Roman" w:eastAsia="Times New Roman" w:hAnsi="Times New Roman"/>
                <w:sz w:val="17"/>
                <w:szCs w:val="17"/>
                <w:color w:val="auto"/>
              </w:rPr>
              <w:t>Carry Forward Securities</w:t>
            </w:r>
          </w:p>
        </w:tc>
        <w:tc>
          <w:tcPr>
            <w:tcW w:w="8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900" w:type="dxa"/>
            <w:vAlign w:val="bottom"/>
            <w:tcBorders>
              <w:left w:val="single" w:sz="8" w:color="auto"/>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Common Stock,</w:t>
            </w:r>
          </w:p>
        </w:tc>
        <w:tc>
          <w:tcPr>
            <w:tcW w:w="72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00" w:type="dxa"/>
            <w:vAlign w:val="bottom"/>
            <w:tcBorders>
              <w:left w:val="single" w:sz="8" w:color="auto"/>
              <w:right w:val="single" w:sz="8" w:color="auto"/>
            </w:tcBorders>
          </w:tcPr>
          <w:p>
            <w:pPr>
              <w:jc w:val="center"/>
              <w:ind w:left="15"/>
              <w:spacing w:after="0"/>
              <w:rPr>
                <w:sz w:val="20"/>
                <w:szCs w:val="20"/>
                <w:color w:val="auto"/>
              </w:rPr>
            </w:pPr>
            <w:r>
              <w:rPr>
                <w:rFonts w:ascii="Times New Roman" w:cs="Times New Roman" w:eastAsia="Times New Roman" w:hAnsi="Times New Roman"/>
                <w:sz w:val="17"/>
                <w:szCs w:val="17"/>
                <w:color w:val="auto"/>
              </w:rPr>
              <w:t>Carry</w:t>
            </w:r>
          </w:p>
        </w:tc>
        <w:tc>
          <w:tcPr>
            <w:tcW w:w="88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$0.001 par</w:t>
            </w:r>
          </w:p>
        </w:tc>
        <w:tc>
          <w:tcPr>
            <w:tcW w:w="72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00" w:type="dxa"/>
            <w:vAlign w:val="bottom"/>
            <w:tcBorders>
              <w:left w:val="single" w:sz="8" w:color="auto"/>
              <w:right w:val="single" w:sz="8" w:color="auto"/>
            </w:tcBorders>
          </w:tcPr>
          <w:p>
            <w:pPr>
              <w:jc w:val="center"/>
              <w:ind w:left="15"/>
              <w:spacing w:after="0"/>
              <w:rPr>
                <w:sz w:val="20"/>
                <w:szCs w:val="20"/>
                <w:color w:val="auto"/>
              </w:rPr>
            </w:pPr>
            <w:r>
              <w:rPr>
                <w:rFonts w:ascii="Times New Roman" w:cs="Times New Roman" w:eastAsia="Times New Roman" w:hAnsi="Times New Roman"/>
                <w:sz w:val="17"/>
                <w:szCs w:val="17"/>
                <w:color w:val="auto"/>
                <w:w w:val="97"/>
              </w:rPr>
              <w:t>Forward</w:t>
            </w:r>
          </w:p>
        </w:tc>
        <w:tc>
          <w:tcPr>
            <w:tcW w:w="88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value per</w:t>
            </w:r>
          </w:p>
        </w:tc>
        <w:tc>
          <w:tcPr>
            <w:tcW w:w="72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900" w:type="dxa"/>
            <w:vAlign w:val="bottom"/>
            <w:tcBorders>
              <w:left w:val="single" w:sz="8" w:color="auto"/>
              <w:bottom w:val="single" w:sz="8" w:color="auto"/>
              <w:right w:val="single" w:sz="8" w:color="auto"/>
            </w:tcBorders>
          </w:tcPr>
          <w:p>
            <w:pPr>
              <w:jc w:val="center"/>
              <w:ind w:left="15"/>
              <w:spacing w:after="0"/>
              <w:rPr>
                <w:sz w:val="20"/>
                <w:szCs w:val="20"/>
                <w:color w:val="auto"/>
              </w:rPr>
            </w:pPr>
            <w:r>
              <w:rPr>
                <w:rFonts w:ascii="Times New Roman" w:cs="Times New Roman" w:eastAsia="Times New Roman" w:hAnsi="Times New Roman"/>
                <w:sz w:val="17"/>
                <w:szCs w:val="17"/>
                <w:color w:val="auto"/>
              </w:rPr>
              <w:t>Securities</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Equity</w:t>
            </w:r>
          </w:p>
        </w:tc>
        <w:tc>
          <w:tcPr>
            <w:tcW w:w="1180" w:type="dxa"/>
            <w:vAlign w:val="bottom"/>
            <w:tcBorders>
              <w:bottom w:val="single" w:sz="8" w:color="auto"/>
              <w:right w:val="single" w:sz="8" w:color="auto"/>
            </w:tcBorders>
          </w:tcPr>
          <w:p>
            <w:pPr>
              <w:jc w:val="center"/>
              <w:spacing w:after="0" w:line="233" w:lineRule="exact"/>
              <w:rPr>
                <w:sz w:val="20"/>
                <w:szCs w:val="20"/>
                <w:color w:val="auto"/>
              </w:rPr>
            </w:pPr>
            <w:r>
              <w:rPr>
                <w:rFonts w:ascii="Times New Roman" w:cs="Times New Roman" w:eastAsia="Times New Roman" w:hAnsi="Times New Roman"/>
                <w:sz w:val="17"/>
                <w:szCs w:val="17"/>
                <w:color w:val="auto"/>
                <w:w w:val="90"/>
              </w:rPr>
              <w:t>share</w:t>
            </w:r>
            <w:r>
              <w:rPr>
                <w:rFonts w:ascii="Times New Roman" w:cs="Times New Roman" w:eastAsia="Times New Roman" w:hAnsi="Times New Roman"/>
                <w:sz w:val="25"/>
                <w:szCs w:val="25"/>
                <w:color w:val="auto"/>
                <w:w w:val="90"/>
                <w:vertAlign w:val="superscript"/>
              </w:rPr>
              <w:t>(1)</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3"/>
        </w:trPr>
        <w:tc>
          <w:tcPr>
            <w:tcW w:w="900" w:type="dxa"/>
            <w:vAlign w:val="bottom"/>
            <w:tcBorders>
              <w:left w:val="single" w:sz="8" w:color="auto"/>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9"/>
              </w:rPr>
              <w:t>Preferred Stock,</w:t>
            </w:r>
          </w:p>
        </w:tc>
        <w:tc>
          <w:tcPr>
            <w:tcW w:w="72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900" w:type="dxa"/>
            <w:vAlign w:val="bottom"/>
            <w:tcBorders>
              <w:left w:val="single" w:sz="8" w:color="auto"/>
              <w:right w:val="single" w:sz="8" w:color="auto"/>
            </w:tcBorders>
          </w:tcPr>
          <w:p>
            <w:pPr>
              <w:jc w:val="center"/>
              <w:ind w:left="15"/>
              <w:spacing w:after="0"/>
              <w:rPr>
                <w:sz w:val="20"/>
                <w:szCs w:val="20"/>
                <w:color w:val="auto"/>
              </w:rPr>
            </w:pPr>
            <w:r>
              <w:rPr>
                <w:rFonts w:ascii="Times New Roman" w:cs="Times New Roman" w:eastAsia="Times New Roman" w:hAnsi="Times New Roman"/>
                <w:sz w:val="17"/>
                <w:szCs w:val="17"/>
                <w:color w:val="auto"/>
              </w:rPr>
              <w:t>Carry</w:t>
            </w:r>
          </w:p>
        </w:tc>
        <w:tc>
          <w:tcPr>
            <w:tcW w:w="88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$0.001 par</w:t>
            </w:r>
          </w:p>
        </w:tc>
        <w:tc>
          <w:tcPr>
            <w:tcW w:w="72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00" w:type="dxa"/>
            <w:vAlign w:val="bottom"/>
            <w:tcBorders>
              <w:left w:val="single" w:sz="8" w:color="auto"/>
              <w:right w:val="single" w:sz="8" w:color="auto"/>
            </w:tcBorders>
          </w:tcPr>
          <w:p>
            <w:pPr>
              <w:jc w:val="center"/>
              <w:ind w:left="15"/>
              <w:spacing w:after="0"/>
              <w:rPr>
                <w:sz w:val="20"/>
                <w:szCs w:val="20"/>
                <w:color w:val="auto"/>
              </w:rPr>
            </w:pPr>
            <w:r>
              <w:rPr>
                <w:rFonts w:ascii="Times New Roman" w:cs="Times New Roman" w:eastAsia="Times New Roman" w:hAnsi="Times New Roman"/>
                <w:sz w:val="17"/>
                <w:szCs w:val="17"/>
                <w:color w:val="auto"/>
                <w:w w:val="97"/>
              </w:rPr>
              <w:t>Forward</w:t>
            </w:r>
          </w:p>
        </w:tc>
        <w:tc>
          <w:tcPr>
            <w:tcW w:w="88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value per</w:t>
            </w:r>
          </w:p>
        </w:tc>
        <w:tc>
          <w:tcPr>
            <w:tcW w:w="72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900" w:type="dxa"/>
            <w:vAlign w:val="bottom"/>
            <w:tcBorders>
              <w:left w:val="single" w:sz="8" w:color="auto"/>
              <w:bottom w:val="single" w:sz="8" w:color="auto"/>
              <w:right w:val="single" w:sz="8" w:color="auto"/>
            </w:tcBorders>
          </w:tcPr>
          <w:p>
            <w:pPr>
              <w:jc w:val="center"/>
              <w:ind w:left="15"/>
              <w:spacing w:after="0"/>
              <w:rPr>
                <w:sz w:val="20"/>
                <w:szCs w:val="20"/>
                <w:color w:val="auto"/>
              </w:rPr>
            </w:pPr>
            <w:r>
              <w:rPr>
                <w:rFonts w:ascii="Times New Roman" w:cs="Times New Roman" w:eastAsia="Times New Roman" w:hAnsi="Times New Roman"/>
                <w:sz w:val="17"/>
                <w:szCs w:val="17"/>
                <w:color w:val="auto"/>
              </w:rPr>
              <w:t>Securities</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Equity</w:t>
            </w:r>
          </w:p>
        </w:tc>
        <w:tc>
          <w:tcPr>
            <w:tcW w:w="1180" w:type="dxa"/>
            <w:vAlign w:val="bottom"/>
            <w:tcBorders>
              <w:bottom w:val="single" w:sz="8" w:color="auto"/>
              <w:right w:val="single" w:sz="8" w:color="auto"/>
            </w:tcBorders>
          </w:tcPr>
          <w:p>
            <w:pPr>
              <w:jc w:val="center"/>
              <w:spacing w:after="0" w:line="233" w:lineRule="exact"/>
              <w:rPr>
                <w:sz w:val="20"/>
                <w:szCs w:val="20"/>
                <w:color w:val="auto"/>
              </w:rPr>
            </w:pPr>
            <w:r>
              <w:rPr>
                <w:rFonts w:ascii="Times New Roman" w:cs="Times New Roman" w:eastAsia="Times New Roman" w:hAnsi="Times New Roman"/>
                <w:sz w:val="17"/>
                <w:szCs w:val="17"/>
                <w:color w:val="auto"/>
                <w:w w:val="90"/>
              </w:rPr>
              <w:t>share</w:t>
            </w:r>
            <w:r>
              <w:rPr>
                <w:rFonts w:ascii="Times New Roman" w:cs="Times New Roman" w:eastAsia="Times New Roman" w:hAnsi="Times New Roman"/>
                <w:sz w:val="25"/>
                <w:szCs w:val="25"/>
                <w:color w:val="auto"/>
                <w:w w:val="90"/>
                <w:vertAlign w:val="superscript"/>
              </w:rPr>
              <w:t>(1)</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900" w:type="dxa"/>
            <w:vAlign w:val="bottom"/>
            <w:tcBorders>
              <w:left w:val="single" w:sz="8" w:color="auto"/>
              <w:right w:val="single" w:sz="8" w:color="auto"/>
            </w:tcBorders>
          </w:tcPr>
          <w:p>
            <w:pPr>
              <w:jc w:val="center"/>
              <w:ind w:left="15"/>
              <w:spacing w:after="0" w:line="193" w:lineRule="exact"/>
              <w:rPr>
                <w:sz w:val="20"/>
                <w:szCs w:val="20"/>
                <w:color w:val="auto"/>
              </w:rPr>
            </w:pPr>
            <w:r>
              <w:rPr>
                <w:rFonts w:ascii="Times New Roman" w:cs="Times New Roman" w:eastAsia="Times New Roman" w:hAnsi="Times New Roman"/>
                <w:sz w:val="17"/>
                <w:szCs w:val="17"/>
                <w:color w:val="auto"/>
              </w:rPr>
              <w:t>Carry</w:t>
            </w:r>
          </w:p>
        </w:tc>
        <w:tc>
          <w:tcPr>
            <w:tcW w:w="88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900" w:type="dxa"/>
            <w:vAlign w:val="bottom"/>
            <w:tcBorders>
              <w:left w:val="single" w:sz="8" w:color="auto"/>
              <w:right w:val="single" w:sz="8" w:color="auto"/>
            </w:tcBorders>
          </w:tcPr>
          <w:p>
            <w:pPr>
              <w:jc w:val="center"/>
              <w:ind w:left="15"/>
              <w:spacing w:after="0"/>
              <w:rPr>
                <w:sz w:val="20"/>
                <w:szCs w:val="20"/>
                <w:color w:val="auto"/>
              </w:rPr>
            </w:pPr>
            <w:r>
              <w:rPr>
                <w:rFonts w:ascii="Times New Roman" w:cs="Times New Roman" w:eastAsia="Times New Roman" w:hAnsi="Times New Roman"/>
                <w:sz w:val="17"/>
                <w:szCs w:val="17"/>
                <w:color w:val="auto"/>
                <w:w w:val="97"/>
              </w:rPr>
              <w:t>Forward</w:t>
            </w:r>
          </w:p>
        </w:tc>
        <w:tc>
          <w:tcPr>
            <w:tcW w:w="88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900" w:type="dxa"/>
            <w:vAlign w:val="bottom"/>
            <w:tcBorders>
              <w:left w:val="single" w:sz="8" w:color="auto"/>
              <w:bottom w:val="single" w:sz="8" w:color="auto"/>
              <w:right w:val="single" w:sz="8" w:color="auto"/>
            </w:tcBorders>
          </w:tcPr>
          <w:p>
            <w:pPr>
              <w:jc w:val="center"/>
              <w:ind w:left="15"/>
              <w:spacing w:after="0"/>
              <w:rPr>
                <w:sz w:val="20"/>
                <w:szCs w:val="20"/>
                <w:color w:val="auto"/>
              </w:rPr>
            </w:pPr>
            <w:r>
              <w:rPr>
                <w:rFonts w:ascii="Times New Roman" w:cs="Times New Roman" w:eastAsia="Times New Roman" w:hAnsi="Times New Roman"/>
                <w:sz w:val="17"/>
                <w:szCs w:val="17"/>
                <w:color w:val="auto"/>
              </w:rPr>
              <w:t>Securities</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Debt</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Debt Securities</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900" w:type="dxa"/>
            <w:vAlign w:val="bottom"/>
            <w:tcBorders>
              <w:left w:val="single" w:sz="8" w:color="auto"/>
              <w:right w:val="single" w:sz="8" w:color="auto"/>
            </w:tcBorders>
          </w:tcPr>
          <w:p>
            <w:pPr>
              <w:jc w:val="center"/>
              <w:ind w:left="15"/>
              <w:spacing w:after="0"/>
              <w:rPr>
                <w:sz w:val="20"/>
                <w:szCs w:val="20"/>
                <w:color w:val="auto"/>
              </w:rPr>
            </w:pPr>
            <w:r>
              <w:rPr>
                <w:rFonts w:ascii="Times New Roman" w:cs="Times New Roman" w:eastAsia="Times New Roman" w:hAnsi="Times New Roman"/>
                <w:sz w:val="17"/>
                <w:szCs w:val="17"/>
                <w:color w:val="auto"/>
              </w:rPr>
              <w:t>Carry</w:t>
            </w:r>
          </w:p>
        </w:tc>
        <w:tc>
          <w:tcPr>
            <w:tcW w:w="88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00" w:type="dxa"/>
            <w:vAlign w:val="bottom"/>
            <w:tcBorders>
              <w:left w:val="single" w:sz="8" w:color="auto"/>
              <w:right w:val="single" w:sz="8" w:color="auto"/>
            </w:tcBorders>
          </w:tcPr>
          <w:p>
            <w:pPr>
              <w:jc w:val="center"/>
              <w:ind w:left="15"/>
              <w:spacing w:after="0"/>
              <w:rPr>
                <w:sz w:val="20"/>
                <w:szCs w:val="20"/>
                <w:color w:val="auto"/>
              </w:rPr>
            </w:pPr>
            <w:r>
              <w:rPr>
                <w:rFonts w:ascii="Times New Roman" w:cs="Times New Roman" w:eastAsia="Times New Roman" w:hAnsi="Times New Roman"/>
                <w:sz w:val="17"/>
                <w:szCs w:val="17"/>
                <w:color w:val="auto"/>
                <w:w w:val="97"/>
              </w:rPr>
              <w:t>Forward</w:t>
            </w:r>
          </w:p>
        </w:tc>
        <w:tc>
          <w:tcPr>
            <w:tcW w:w="88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900" w:type="dxa"/>
            <w:vAlign w:val="bottom"/>
            <w:tcBorders>
              <w:left w:val="single" w:sz="8" w:color="auto"/>
              <w:bottom w:val="single" w:sz="8" w:color="auto"/>
              <w:right w:val="single" w:sz="8" w:color="auto"/>
            </w:tcBorders>
          </w:tcPr>
          <w:p>
            <w:pPr>
              <w:jc w:val="center"/>
              <w:ind w:left="15"/>
              <w:spacing w:after="0"/>
              <w:rPr>
                <w:sz w:val="20"/>
                <w:szCs w:val="20"/>
                <w:color w:val="auto"/>
              </w:rPr>
            </w:pPr>
            <w:r>
              <w:rPr>
                <w:rFonts w:ascii="Times New Roman" w:cs="Times New Roman" w:eastAsia="Times New Roman" w:hAnsi="Times New Roman"/>
                <w:sz w:val="17"/>
                <w:szCs w:val="17"/>
                <w:color w:val="auto"/>
              </w:rPr>
              <w:t>Securities</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Other</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Warrants</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900" w:type="dxa"/>
            <w:vAlign w:val="bottom"/>
            <w:tcBorders>
              <w:left w:val="single" w:sz="8" w:color="auto"/>
              <w:right w:val="single" w:sz="8" w:color="auto"/>
            </w:tcBorders>
          </w:tcPr>
          <w:p>
            <w:pPr>
              <w:jc w:val="center"/>
              <w:ind w:left="15"/>
              <w:spacing w:after="0"/>
              <w:rPr>
                <w:sz w:val="20"/>
                <w:szCs w:val="20"/>
                <w:color w:val="auto"/>
              </w:rPr>
            </w:pPr>
            <w:r>
              <w:rPr>
                <w:rFonts w:ascii="Times New Roman" w:cs="Times New Roman" w:eastAsia="Times New Roman" w:hAnsi="Times New Roman"/>
                <w:sz w:val="17"/>
                <w:szCs w:val="17"/>
                <w:color w:val="auto"/>
              </w:rPr>
              <w:t>Carry</w:t>
            </w:r>
          </w:p>
        </w:tc>
        <w:tc>
          <w:tcPr>
            <w:tcW w:w="88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00" w:type="dxa"/>
            <w:vAlign w:val="bottom"/>
            <w:tcBorders>
              <w:left w:val="single" w:sz="8" w:color="auto"/>
              <w:right w:val="single" w:sz="8" w:color="auto"/>
            </w:tcBorders>
          </w:tcPr>
          <w:p>
            <w:pPr>
              <w:jc w:val="center"/>
              <w:ind w:left="15"/>
              <w:spacing w:after="0"/>
              <w:rPr>
                <w:sz w:val="20"/>
                <w:szCs w:val="20"/>
                <w:color w:val="auto"/>
              </w:rPr>
            </w:pPr>
            <w:r>
              <w:rPr>
                <w:rFonts w:ascii="Times New Roman" w:cs="Times New Roman" w:eastAsia="Times New Roman" w:hAnsi="Times New Roman"/>
                <w:sz w:val="17"/>
                <w:szCs w:val="17"/>
                <w:color w:val="auto"/>
                <w:w w:val="97"/>
              </w:rPr>
              <w:t>Forward</w:t>
            </w:r>
          </w:p>
        </w:tc>
        <w:tc>
          <w:tcPr>
            <w:tcW w:w="88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900" w:type="dxa"/>
            <w:vAlign w:val="bottom"/>
            <w:tcBorders>
              <w:left w:val="single" w:sz="8" w:color="auto"/>
              <w:bottom w:val="single" w:sz="8" w:color="auto"/>
              <w:right w:val="single" w:sz="8" w:color="auto"/>
            </w:tcBorders>
          </w:tcPr>
          <w:p>
            <w:pPr>
              <w:jc w:val="center"/>
              <w:ind w:left="15"/>
              <w:spacing w:after="0"/>
              <w:rPr>
                <w:sz w:val="20"/>
                <w:szCs w:val="20"/>
                <w:color w:val="auto"/>
              </w:rPr>
            </w:pPr>
            <w:r>
              <w:rPr>
                <w:rFonts w:ascii="Times New Roman" w:cs="Times New Roman" w:eastAsia="Times New Roman" w:hAnsi="Times New Roman"/>
                <w:sz w:val="17"/>
                <w:szCs w:val="17"/>
                <w:color w:val="auto"/>
              </w:rPr>
              <w:t>Securities</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Other</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Units</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900" w:type="dxa"/>
            <w:vAlign w:val="bottom"/>
            <w:tcBorders>
              <w:left w:val="single" w:sz="8" w:color="auto"/>
              <w:right w:val="single" w:sz="8" w:color="auto"/>
            </w:tcBorders>
          </w:tcPr>
          <w:p>
            <w:pPr>
              <w:jc w:val="center"/>
              <w:ind w:left="15"/>
              <w:spacing w:after="0"/>
              <w:rPr>
                <w:sz w:val="20"/>
                <w:szCs w:val="20"/>
                <w:color w:val="auto"/>
              </w:rPr>
            </w:pPr>
            <w:r>
              <w:rPr>
                <w:rFonts w:ascii="Times New Roman" w:cs="Times New Roman" w:eastAsia="Times New Roman" w:hAnsi="Times New Roman"/>
                <w:sz w:val="17"/>
                <w:szCs w:val="17"/>
                <w:color w:val="auto"/>
              </w:rPr>
              <w:t>Carry</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Unallocated</w:t>
            </w:r>
          </w:p>
        </w:tc>
        <w:tc>
          <w:tcPr>
            <w:tcW w:w="118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00" w:type="dxa"/>
            <w:vAlign w:val="bottom"/>
            <w:tcBorders>
              <w:left w:val="single" w:sz="8" w:color="auto"/>
              <w:right w:val="single" w:sz="8" w:color="auto"/>
            </w:tcBorders>
          </w:tcPr>
          <w:p>
            <w:pPr>
              <w:jc w:val="center"/>
              <w:ind w:left="15"/>
              <w:spacing w:after="0"/>
              <w:rPr>
                <w:sz w:val="20"/>
                <w:szCs w:val="20"/>
                <w:color w:val="auto"/>
              </w:rPr>
            </w:pPr>
            <w:r>
              <w:rPr>
                <w:rFonts w:ascii="Times New Roman" w:cs="Times New Roman" w:eastAsia="Times New Roman" w:hAnsi="Times New Roman"/>
                <w:sz w:val="17"/>
                <w:szCs w:val="17"/>
                <w:color w:val="auto"/>
                <w:w w:val="97"/>
              </w:rPr>
              <w:t>Forward</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(Universal</w:t>
            </w:r>
          </w:p>
        </w:tc>
        <w:tc>
          <w:tcPr>
            <w:tcW w:w="118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Form</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333-</w:t>
            </w:r>
          </w:p>
        </w:tc>
        <w:tc>
          <w:tcPr>
            <w:tcW w:w="84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900" w:type="dxa"/>
            <w:vAlign w:val="bottom"/>
            <w:tcBorders>
              <w:left w:val="single" w:sz="8" w:color="auto"/>
              <w:bottom w:val="single" w:sz="8" w:color="auto"/>
              <w:right w:val="single" w:sz="8" w:color="auto"/>
            </w:tcBorders>
          </w:tcPr>
          <w:p>
            <w:pPr>
              <w:jc w:val="center"/>
              <w:ind w:left="15"/>
              <w:spacing w:after="0"/>
              <w:rPr>
                <w:sz w:val="20"/>
                <w:szCs w:val="20"/>
                <w:color w:val="auto"/>
              </w:rPr>
            </w:pPr>
            <w:r>
              <w:rPr>
                <w:rFonts w:ascii="Times New Roman" w:cs="Times New Roman" w:eastAsia="Times New Roman" w:hAnsi="Times New Roman"/>
                <w:sz w:val="17"/>
                <w:szCs w:val="17"/>
                <w:color w:val="auto"/>
              </w:rPr>
              <w:t>Securities</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Shelf)</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(2)</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415(a)(6)</w:t>
            </w:r>
          </w:p>
        </w:tc>
        <w:tc>
          <w:tcPr>
            <w:tcW w:w="1140" w:type="dxa"/>
            <w:vAlign w:val="bottom"/>
            <w:tcBorders>
              <w:bottom w:val="single" w:sz="8" w:color="auto"/>
              <w:right w:val="single" w:sz="8" w:color="auto"/>
            </w:tcBorders>
          </w:tcPr>
          <w:p>
            <w:pPr>
              <w:jc w:val="center"/>
              <w:spacing w:after="0" w:line="233" w:lineRule="exact"/>
              <w:rPr>
                <w:sz w:val="20"/>
                <w:szCs w:val="20"/>
                <w:color w:val="auto"/>
              </w:rPr>
            </w:pPr>
            <w:r>
              <w:rPr>
                <w:rFonts w:ascii="Times New Roman" w:cs="Times New Roman" w:eastAsia="Times New Roman" w:hAnsi="Times New Roman"/>
                <w:sz w:val="17"/>
                <w:szCs w:val="17"/>
                <w:color w:val="auto"/>
                <w:w w:val="95"/>
              </w:rPr>
              <w:t>$55,865,765</w:t>
            </w:r>
            <w:r>
              <w:rPr>
                <w:rFonts w:ascii="Times New Roman" w:cs="Times New Roman" w:eastAsia="Times New Roman" w:hAnsi="Times New Roman"/>
                <w:sz w:val="25"/>
                <w:szCs w:val="25"/>
                <w:color w:val="auto"/>
                <w:w w:val="95"/>
                <w:vertAlign w:val="superscript"/>
              </w:rPr>
              <w:t>(4)</w:t>
            </w:r>
          </w:p>
        </w:tc>
        <w:tc>
          <w:tcPr>
            <w:tcW w:w="56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center"/>
              <w:spacing w:after="0" w:line="233" w:lineRule="exact"/>
              <w:rPr>
                <w:sz w:val="20"/>
                <w:szCs w:val="20"/>
                <w:color w:val="auto"/>
              </w:rPr>
            </w:pPr>
            <w:r>
              <w:rPr>
                <w:rFonts w:ascii="Times New Roman" w:cs="Times New Roman" w:eastAsia="Times New Roman" w:hAnsi="Times New Roman"/>
                <w:sz w:val="17"/>
                <w:szCs w:val="17"/>
                <w:color w:val="auto"/>
                <w:w w:val="95"/>
              </w:rPr>
              <w:t>$55,865,765</w:t>
            </w:r>
            <w:r>
              <w:rPr>
                <w:rFonts w:ascii="Times New Roman" w:cs="Times New Roman" w:eastAsia="Times New Roman" w:hAnsi="Times New Roman"/>
                <w:sz w:val="25"/>
                <w:szCs w:val="25"/>
                <w:color w:val="auto"/>
                <w:w w:val="95"/>
                <w:vertAlign w:val="superscript"/>
              </w:rPr>
              <w:t>(4)</w:t>
            </w:r>
          </w:p>
        </w:tc>
        <w:tc>
          <w:tcPr>
            <w:tcW w:w="88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S-3</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254918</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03/31/2021</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$6,094.9</w:t>
            </w:r>
          </w:p>
        </w:tc>
        <w:tc>
          <w:tcPr>
            <w:tcW w:w="0" w:type="dxa"/>
            <w:vAlign w:val="bottom"/>
          </w:tcPr>
          <w:p>
            <w:pPr>
              <w:spacing w:after="0"/>
              <w:rPr>
                <w:sz w:val="1"/>
                <w:szCs w:val="1"/>
                <w:color w:val="auto"/>
              </w:rPr>
            </w:pPr>
          </w:p>
        </w:tc>
      </w:tr>
      <w:tr>
        <w:trPr>
          <w:trHeight w:val="222"/>
        </w:trPr>
        <w:tc>
          <w:tcPr>
            <w:tcW w:w="900" w:type="dxa"/>
            <w:vAlign w:val="bottom"/>
            <w:tcBorders>
              <w:left w:val="single" w:sz="8" w:color="auto"/>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86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Total Offering Amounts </w:t>
            </w:r>
          </w:p>
        </w:tc>
        <w:tc>
          <w:tcPr>
            <w:tcW w:w="5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center"/>
              <w:spacing w:after="0" w:line="222" w:lineRule="exact"/>
              <w:rPr>
                <w:sz w:val="20"/>
                <w:szCs w:val="20"/>
                <w:color w:val="auto"/>
              </w:rPr>
            </w:pPr>
            <w:r>
              <w:rPr>
                <w:rFonts w:ascii="Times New Roman" w:cs="Times New Roman" w:eastAsia="Times New Roman" w:hAnsi="Times New Roman"/>
                <w:sz w:val="17"/>
                <w:szCs w:val="17"/>
                <w:color w:val="auto"/>
                <w:w w:val="95"/>
              </w:rPr>
              <w:t>$150,000,000</w:t>
            </w:r>
            <w:r>
              <w:rPr>
                <w:rFonts w:ascii="Times New Roman" w:cs="Times New Roman" w:eastAsia="Times New Roman" w:hAnsi="Times New Roman"/>
                <w:sz w:val="25"/>
                <w:szCs w:val="25"/>
                <w:color w:val="auto"/>
                <w:w w:val="95"/>
                <w:vertAlign w:val="superscript"/>
              </w:rPr>
              <w:t>(4)</w:t>
            </w:r>
          </w:p>
        </w:tc>
        <w:tc>
          <w:tcPr>
            <w:tcW w:w="88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$13,894.22</w:t>
            </w:r>
          </w:p>
        </w:tc>
        <w:tc>
          <w:tcPr>
            <w:tcW w:w="48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00" w:type="dxa"/>
            <w:vAlign w:val="bottom"/>
            <w:tcBorders>
              <w:left w:val="single" w:sz="8" w:color="auto"/>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86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7"/>
              </w:rPr>
              <w:t>Total Fees Previously Paid </w:t>
            </w:r>
          </w:p>
        </w:tc>
        <w:tc>
          <w:tcPr>
            <w:tcW w:w="56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0" w:type="dxa"/>
            <w:vAlign w:val="bottom"/>
            <w:tcBorders>
              <w:left w:val="single" w:sz="8" w:color="auto"/>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86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Total Fee Offsets </w:t>
            </w:r>
          </w:p>
        </w:tc>
        <w:tc>
          <w:tcPr>
            <w:tcW w:w="5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tcBorders>
              <w:left w:val="single" w:sz="8" w:color="auto"/>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Net Fee Due </w:t>
            </w:r>
          </w:p>
        </w:tc>
        <w:tc>
          <w:tcPr>
            <w:tcW w:w="5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$13,894.22</w:t>
            </w:r>
          </w:p>
        </w:tc>
        <w:tc>
          <w:tcPr>
            <w:tcW w:w="48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320" w:hanging="312"/>
        <w:spacing w:after="0"/>
        <w:tabs>
          <w:tab w:leader="none" w:pos="320" w:val="left"/>
        </w:tabs>
        <w:numPr>
          <w:ilvl w:val="0"/>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rights to acquire Common Stock or Preferred Stock of the Company under any shareholder rights plan then in effect, if applicable under the terms of any such plan.</w:t>
      </w:r>
    </w:p>
    <w:p>
      <w:pPr>
        <w:spacing w:after="0" w:line="1" w:lineRule="exact"/>
        <w:rPr>
          <w:rFonts w:ascii="Times New Roman" w:cs="Times New Roman" w:eastAsia="Times New Roman" w:hAnsi="Times New Roman"/>
          <w:sz w:val="12"/>
          <w:szCs w:val="12"/>
          <w:color w:val="auto"/>
        </w:rPr>
      </w:pPr>
    </w:p>
    <w:p>
      <w:pPr>
        <w:ind w:left="320" w:right="520" w:hanging="312"/>
        <w:spacing w:after="0" w:line="221" w:lineRule="auto"/>
        <w:tabs>
          <w:tab w:leader="none" w:pos="320" w:val="left"/>
        </w:tabs>
        <w:numPr>
          <w:ilvl w:val="0"/>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unspecified number of securities or aggregate principal amount, as applicable, is being registered as may from time to time be offered at unspecified prices and, in addition, an unspecified number of additional shares of Common Stock is being registered as may be issued from time to time upon conversion of any Debt Securities that are convertible into Common Stock or pursuant to any anti-dilution adjustments with respect to any such convertible Debt Securities.</w:t>
      </w:r>
    </w:p>
    <w:p>
      <w:pPr>
        <w:ind w:left="320" w:right="640" w:hanging="312"/>
        <w:spacing w:after="0" w:line="234" w:lineRule="auto"/>
        <w:tabs>
          <w:tab w:leader="none" w:pos="320" w:val="left"/>
        </w:tabs>
        <w:numPr>
          <w:ilvl w:val="0"/>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Estimated solely for the purpose of calculating the registration fee. No separate consideration will be received for shares of Common Stock that are issued upon conversion of Debt Securities or upon exercise of Warrants registered hereunder. The aggregate maximum offering price of all securities issued by the Company pursuant to this registration statement will not exceed $150,000,000.</w:t>
      </w:r>
    </w:p>
    <w:p>
      <w:pPr>
        <w:sectPr>
          <w:pgSz w:w="11900" w:h="16838" w:orient="portrait"/>
          <w:cols w:equalWidth="0" w:num="1">
            <w:col w:w="10920"/>
          </w:cols>
          <w:pgMar w:left="740" w:top="119" w:right="239" w:bottom="1440" w:gutter="0" w:footer="0" w:header="0"/>
        </w:sectPr>
      </w:pPr>
    </w:p>
    <w:bookmarkStart w:id="176" w:name="page177"/>
    <w:bookmarkEnd w:id="176"/>
    <w:p>
      <w:pPr>
        <w:ind w:left="306" w:hanging="306"/>
        <w:spacing w:after="0" w:line="226" w:lineRule="auto"/>
        <w:tabs>
          <w:tab w:leader="none" w:pos="306" w:val="left"/>
        </w:tabs>
        <w:numPr>
          <w:ilvl w:val="0"/>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3">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The registrant previously paid registration fees in the aggregate of $16,365 with respect to a Registration Statement on Form S-3, as amended (File No. 333-254918) (the “Prior Registration Statement”). Pursuant to Rule 415(a)(6) (“Rule 415(a)(6)”) promulgated under the Securities Act of 1933, as amended (the “Securities Act”), the securities registered pursuant to this Registration Statement on Form S-3 (this “Registration Statement”) include $55,865,765 of securities previously registered on the Prior Registration Statement which remain unsold (the “Unsold Securities”). Pursuant to Rule 415(a)(6), the registration fee of $6,094.95 associated with the offering of the Unsold Securities (based on the filing fee rate in effect at the time of the filing of the Prior Registration Statement) is hereby carried forward to be applied to the Unsold Securities registered hereunder, and no additional filing fee is due with respect to the Unsold Securities in connection with the filing of this Registration Statement. The registrant is also registering new securities on this Registration Statement with an aggregate maximum offering price of $94,134,235 (the “New Securities”), which aggregate offering price is not specified as to each class of securities in reliance upon Rule 457(o) promulgated under the Securities Act. A filing fee of $13,894.22 with respect to the New Securities is being paid in connection with the filing of this Registration Statement. Pursuant to Rule 415(a)(6), the offering of the Unsold Securities under the Prior Registration Statement will be deemed terminated as of the date of effectiveness of this Registration Statement.</w:t>
      </w:r>
    </w:p>
    <w:sectPr>
      <w:pgSz w:w="11900" w:h="16838" w:orient="portrait"/>
      <w:cols w:equalWidth="0" w:num="1">
        <w:col w:w="10066"/>
      </w:cols>
      <w:pgMar w:left="1054" w:top="264"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0F8FCA"/>
    <w:multiLevelType w:val="hybridMultilevel"/>
    <w:lvl w:ilvl="0">
      <w:lvlJc w:val="left"/>
      <w:lvlText w:val="•"/>
      <w:numFmt w:val="bullet"/>
      <w:start w:val="1"/>
    </w:lvl>
  </w:abstractNum>
  <w:abstractNum w:abstractNumId="1">
    <w:nsid w:val="6590700B"/>
    <w:multiLevelType w:val="hybridMultilevel"/>
    <w:lvl w:ilvl="0">
      <w:lvlJc w:val="left"/>
      <w:lvlText w:val="•"/>
      <w:numFmt w:val="bullet"/>
      <w:start w:val="1"/>
    </w:lvl>
  </w:abstractNum>
  <w:abstractNum w:abstractNumId="2">
    <w:nsid w:val="15014ACB"/>
    <w:multiLevelType w:val="hybridMultilevel"/>
    <w:lvl w:ilvl="0">
      <w:lvlJc w:val="left"/>
      <w:lvlText w:val="•"/>
      <w:numFmt w:val="bullet"/>
      <w:start w:val="1"/>
    </w:lvl>
  </w:abstractNum>
  <w:abstractNum w:abstractNumId="3">
    <w:nsid w:val="5F5E7FD0"/>
    <w:multiLevelType w:val="hybridMultilevel"/>
    <w:lvl w:ilvl="0">
      <w:lvlJc w:val="left"/>
      <w:lvlText w:val="•"/>
      <w:numFmt w:val="bullet"/>
      <w:start w:val="1"/>
    </w:lvl>
  </w:abstractNum>
  <w:abstractNum w:abstractNumId="4">
    <w:nsid w:val="98A3148"/>
    <w:multiLevelType w:val="hybridMultilevel"/>
    <w:lvl w:ilvl="0">
      <w:lvlJc w:val="left"/>
      <w:lvlText w:val="•"/>
      <w:numFmt w:val="bullet"/>
      <w:start w:val="1"/>
    </w:lvl>
  </w:abstractNum>
  <w:abstractNum w:abstractNumId="5">
    <w:nsid w:val="799D0247"/>
    <w:multiLevelType w:val="hybridMultilevel"/>
    <w:lvl w:ilvl="0">
      <w:lvlJc w:val="left"/>
      <w:lvlText w:val="•"/>
      <w:numFmt w:val="bullet"/>
      <w:start w:val="1"/>
    </w:lvl>
  </w:abstractNum>
  <w:abstractNum w:abstractNumId="6">
    <w:nsid w:val="6B94764"/>
    <w:multiLevelType w:val="hybridMultilevel"/>
    <w:lvl w:ilvl="0">
      <w:lvlJc w:val="left"/>
      <w:lvlText w:val="•"/>
      <w:numFmt w:val="bullet"/>
      <w:start w:val="1"/>
    </w:lvl>
  </w:abstractNum>
  <w:abstractNum w:abstractNumId="7">
    <w:nsid w:val="42C296BD"/>
    <w:multiLevelType w:val="hybridMultilevel"/>
    <w:lvl w:ilvl="0">
      <w:lvlJc w:val="left"/>
      <w:lvlText w:val="•"/>
      <w:numFmt w:val="bullet"/>
      <w:start w:val="1"/>
    </w:lvl>
  </w:abstractNum>
  <w:abstractNum w:abstractNumId="8">
    <w:nsid w:val="168E121F"/>
    <w:multiLevelType w:val="hybridMultilevel"/>
    <w:lvl w:ilvl="0">
      <w:lvlJc w:val="left"/>
      <w:lvlText w:val="•"/>
      <w:numFmt w:val="bullet"/>
      <w:start w:val="1"/>
    </w:lvl>
  </w:abstractNum>
  <w:abstractNum w:abstractNumId="9">
    <w:nsid w:val="1EBA5D23"/>
    <w:multiLevelType w:val="hybridMultilevel"/>
    <w:lvl w:ilvl="0">
      <w:lvlJc w:val="left"/>
      <w:lvlText w:val="•"/>
      <w:numFmt w:val="bullet"/>
      <w:start w:val="1"/>
    </w:lvl>
  </w:abstractNum>
  <w:abstractNum w:abstractNumId="10">
    <w:nsid w:val="661E3F1E"/>
    <w:multiLevelType w:val="hybridMultilevel"/>
    <w:lvl w:ilvl="0">
      <w:lvlJc w:val="left"/>
      <w:lvlText w:val="•"/>
      <w:numFmt w:val="bullet"/>
      <w:start w:val="1"/>
    </w:lvl>
  </w:abstractNum>
  <w:abstractNum w:abstractNumId="11">
    <w:nsid w:val="5DC79EA8"/>
    <w:multiLevelType w:val="hybridMultilevel"/>
    <w:lvl w:ilvl="0">
      <w:lvlJc w:val="left"/>
      <w:lvlText w:val="•"/>
      <w:numFmt w:val="bullet"/>
      <w:start w:val="1"/>
    </w:lvl>
  </w:abstractNum>
  <w:abstractNum w:abstractNumId="12">
    <w:nsid w:val="540A471C"/>
    <w:multiLevelType w:val="hybridMultilevel"/>
    <w:lvl w:ilvl="0">
      <w:lvlJc w:val="left"/>
      <w:lvlText w:val="•"/>
      <w:numFmt w:val="bullet"/>
      <w:start w:val="1"/>
    </w:lvl>
  </w:abstractNum>
  <w:abstractNum w:abstractNumId="13">
    <w:nsid w:val="7BD3EE7B"/>
    <w:multiLevelType w:val="hybridMultilevel"/>
    <w:lvl w:ilvl="0">
      <w:lvlJc w:val="left"/>
      <w:lvlText w:val="•"/>
      <w:numFmt w:val="bullet"/>
      <w:start w:val="1"/>
    </w:lvl>
  </w:abstractNum>
  <w:abstractNum w:abstractNumId="14">
    <w:nsid w:val="51D9C564"/>
    <w:multiLevelType w:val="hybridMultilevel"/>
    <w:lvl w:ilvl="0">
      <w:lvlJc w:val="left"/>
      <w:lvlText w:val="•"/>
      <w:numFmt w:val="bullet"/>
      <w:start w:val="1"/>
    </w:lvl>
  </w:abstractNum>
  <w:abstractNum w:abstractNumId="15">
    <w:nsid w:val="613EFDC5"/>
    <w:multiLevelType w:val="hybridMultilevel"/>
    <w:lvl w:ilvl="0">
      <w:lvlJc w:val="left"/>
      <w:lvlText w:val="•"/>
      <w:numFmt w:val="bullet"/>
      <w:start w:val="1"/>
    </w:lvl>
  </w:abstractNum>
  <w:abstractNum w:abstractNumId="16">
    <w:nsid w:val="BF72B14"/>
    <w:multiLevelType w:val="hybridMultilevel"/>
    <w:lvl w:ilvl="0">
      <w:lvlJc w:val="left"/>
      <w:lvlText w:val="•"/>
      <w:numFmt w:val="bullet"/>
      <w:start w:val="1"/>
    </w:lvl>
  </w:abstractNum>
  <w:abstractNum w:abstractNumId="17">
    <w:nsid w:val="11447B73"/>
    <w:multiLevelType w:val="hybridMultilevel"/>
    <w:lvl w:ilvl="0">
      <w:lvlJc w:val="left"/>
      <w:lvlText w:val="•"/>
      <w:numFmt w:val="bullet"/>
      <w:start w:val="1"/>
    </w:lvl>
  </w:abstractNum>
  <w:abstractNum w:abstractNumId="18">
    <w:nsid w:val="42963E5A"/>
    <w:multiLevelType w:val="hybridMultilevel"/>
    <w:lvl w:ilvl="0">
      <w:lvlJc w:val="left"/>
      <w:lvlText w:val="•"/>
      <w:numFmt w:val="bullet"/>
      <w:start w:val="1"/>
    </w:lvl>
  </w:abstractNum>
  <w:abstractNum w:abstractNumId="19">
    <w:nsid w:val="A0382C5"/>
    <w:multiLevelType w:val="hybridMultilevel"/>
    <w:lvl w:ilvl="0">
      <w:lvlJc w:val="left"/>
      <w:lvlText w:val="•"/>
      <w:numFmt w:val="bullet"/>
      <w:start w:val="1"/>
    </w:lvl>
  </w:abstractNum>
  <w:abstractNum w:abstractNumId="20">
    <w:nsid w:val="8F2B15E"/>
    <w:multiLevelType w:val="hybridMultilevel"/>
    <w:lvl w:ilvl="0">
      <w:lvlJc w:val="left"/>
      <w:lvlText w:val="•"/>
      <w:numFmt w:val="bullet"/>
      <w:start w:val="1"/>
    </w:lvl>
  </w:abstractNum>
  <w:abstractNum w:abstractNumId="21">
    <w:nsid w:val="1A32234B"/>
    <w:multiLevelType w:val="hybridMultilevel"/>
    <w:lvl w:ilvl="0">
      <w:lvlJc w:val="left"/>
      <w:lvlText w:val="•"/>
      <w:numFmt w:val="bullet"/>
      <w:start w:val="1"/>
    </w:lvl>
  </w:abstractNum>
  <w:abstractNum w:abstractNumId="22">
    <w:nsid w:val="3B0FD379"/>
    <w:multiLevelType w:val="hybridMultilevel"/>
    <w:lvl w:ilvl="0">
      <w:lvlJc w:val="left"/>
      <w:lvlText w:val="•"/>
      <w:numFmt w:val="bullet"/>
      <w:start w:val="1"/>
    </w:lvl>
  </w:abstractNum>
  <w:abstractNum w:abstractNumId="23">
    <w:nsid w:val="68EB2F63"/>
    <w:multiLevelType w:val="hybridMultilevel"/>
    <w:lvl w:ilvl="0">
      <w:lvlJc w:val="left"/>
      <w:lvlText w:val="•"/>
      <w:numFmt w:val="bullet"/>
      <w:start w:val="1"/>
    </w:lvl>
  </w:abstractNum>
  <w:abstractNum w:abstractNumId="24">
    <w:nsid w:val="4962813B"/>
    <w:multiLevelType w:val="hybridMultilevel"/>
    <w:lvl w:ilvl="0">
      <w:lvlJc w:val="left"/>
      <w:lvlText w:val="•"/>
      <w:numFmt w:val="bullet"/>
      <w:start w:val="1"/>
    </w:lvl>
  </w:abstractNum>
  <w:abstractNum w:abstractNumId="25">
    <w:nsid w:val="60B6DF70"/>
    <w:multiLevelType w:val="hybridMultilevel"/>
    <w:lvl w:ilvl="0">
      <w:lvlJc w:val="left"/>
      <w:lvlText w:val="•"/>
      <w:numFmt w:val="bullet"/>
      <w:start w:val="1"/>
    </w:lvl>
  </w:abstractNum>
  <w:abstractNum w:abstractNumId="26">
    <w:nsid w:val="6A5EE64"/>
    <w:multiLevelType w:val="hybridMultilevel"/>
    <w:lvl w:ilvl="0">
      <w:lvlJc w:val="left"/>
      <w:lvlText w:val="•"/>
      <w:numFmt w:val="bullet"/>
      <w:start w:val="1"/>
    </w:lvl>
  </w:abstractNum>
  <w:abstractNum w:abstractNumId="27">
    <w:nsid w:val="14330624"/>
    <w:multiLevelType w:val="hybridMultilevel"/>
    <w:lvl w:ilvl="0">
      <w:lvlJc w:val="left"/>
      <w:lvlText w:val="•"/>
      <w:numFmt w:val="bullet"/>
      <w:start w:val="1"/>
    </w:lvl>
  </w:abstractNum>
  <w:abstractNum w:abstractNumId="28">
    <w:nsid w:val="7FFFCA11"/>
    <w:multiLevelType w:val="hybridMultilevel"/>
    <w:lvl w:ilvl="0">
      <w:lvlJc w:val="left"/>
      <w:lvlText w:val="•"/>
      <w:numFmt w:val="bullet"/>
      <w:start w:val="1"/>
    </w:lvl>
  </w:abstractNum>
  <w:abstractNum w:abstractNumId="29">
    <w:nsid w:val="1A27709E"/>
    <w:multiLevelType w:val="hybridMultilevel"/>
    <w:lvl w:ilvl="0">
      <w:lvlJc w:val="left"/>
      <w:lvlText w:val="%1"/>
      <w:numFmt w:val="decimal"/>
      <w:start w:val="101"/>
    </w:lvl>
  </w:abstractNum>
  <w:abstractNum w:abstractNumId="30">
    <w:nsid w:val="71EA1109"/>
    <w:multiLevelType w:val="hybridMultilevel"/>
    <w:lvl w:ilvl="0">
      <w:lvlJc w:val="left"/>
      <w:lvlText w:val="•"/>
      <w:numFmt w:val="bullet"/>
      <w:start w:val="1"/>
    </w:lvl>
  </w:abstractNum>
  <w:abstractNum w:abstractNumId="31">
    <w:nsid w:val="100F59DC"/>
    <w:multiLevelType w:val="hybridMultilevel"/>
    <w:lvl w:ilvl="0">
      <w:lvlJc w:val="left"/>
      <w:lvlText w:val="•"/>
      <w:numFmt w:val="bullet"/>
      <w:start w:val="1"/>
    </w:lvl>
  </w:abstractNum>
  <w:abstractNum w:abstractNumId="32">
    <w:nsid w:val="7FB7E0AA"/>
    <w:multiLevelType w:val="hybridMultilevel"/>
    <w:lvl w:ilvl="0">
      <w:lvlJc w:val="left"/>
      <w:lvlText w:val="•"/>
      <w:numFmt w:val="bullet"/>
      <w:start w:val="1"/>
    </w:lvl>
  </w:abstractNum>
  <w:abstractNum w:abstractNumId="33">
    <w:nsid w:val="6EB5BD4"/>
    <w:multiLevelType w:val="hybridMultilevel"/>
    <w:lvl w:ilvl="0">
      <w:lvlJc w:val="left"/>
      <w:lvlText w:val="•"/>
      <w:numFmt w:val="bullet"/>
      <w:start w:val="1"/>
    </w:lvl>
  </w:abstractNum>
  <w:abstractNum w:abstractNumId="34">
    <w:nsid w:val="6F6DD9AC"/>
    <w:multiLevelType w:val="hybridMultilevel"/>
    <w:lvl w:ilvl="0">
      <w:lvlJc w:val="left"/>
      <w:lvlText w:val="•"/>
      <w:numFmt w:val="bullet"/>
      <w:start w:val="1"/>
    </w:lvl>
  </w:abstractNum>
  <w:abstractNum w:abstractNumId="35">
    <w:nsid w:val="94211F2"/>
    <w:multiLevelType w:val="hybridMultilevel"/>
    <w:lvl w:ilvl="0">
      <w:lvlJc w:val="left"/>
      <w:lvlText w:val="•"/>
      <w:numFmt w:val="bullet"/>
      <w:start w:val="1"/>
    </w:lvl>
  </w:abstractNum>
  <w:abstractNum w:abstractNumId="36">
    <w:nsid w:val="885E1B"/>
    <w:multiLevelType w:val="hybridMultilevel"/>
    <w:lvl w:ilvl="0">
      <w:lvlJc w:val="left"/>
      <w:lvlText w:val="•"/>
      <w:numFmt w:val="bullet"/>
      <w:start w:val="1"/>
    </w:lvl>
  </w:abstractNum>
  <w:abstractNum w:abstractNumId="37">
    <w:nsid w:val="76272110"/>
    <w:multiLevelType w:val="hybridMultilevel"/>
    <w:lvl w:ilvl="0">
      <w:lvlJc w:val="left"/>
      <w:lvlText w:val="•"/>
      <w:numFmt w:val="bullet"/>
      <w:start w:val="1"/>
    </w:lvl>
  </w:abstractNum>
  <w:abstractNum w:abstractNumId="38">
    <w:nsid w:val="4C04A8AF"/>
    <w:multiLevelType w:val="hybridMultilevel"/>
    <w:lvl w:ilvl="0">
      <w:lvlJc w:val="left"/>
      <w:lvlText w:val="(%1)"/>
      <w:numFmt w:val="decimal"/>
      <w:start w:val="1"/>
    </w:lvl>
  </w:abstractNum>
  <w:abstractNum w:abstractNumId="39">
    <w:nsid w:val="1716703B"/>
    <w:multiLevelType w:val="hybridMultilevel"/>
    <w:lvl w:ilvl="0">
      <w:lvlJc w:val="left"/>
      <w:lvlText w:val="*"/>
      <w:numFmt w:val="bullet"/>
      <w:start w:val="1"/>
    </w:lvl>
  </w:abstractNum>
  <w:abstractNum w:abstractNumId="40">
    <w:nsid w:val="14E17E33"/>
    <w:multiLevelType w:val="hybridMultilevel"/>
    <w:lvl w:ilvl="0">
      <w:lvlJc w:val="left"/>
      <w:lvlText w:val="(%1)"/>
      <w:numFmt w:val="decimal"/>
      <w:start w:val="1"/>
    </w:lvl>
  </w:abstractNum>
  <w:abstractNum w:abstractNumId="41">
    <w:nsid w:val="3222E7CD"/>
    <w:multiLevelType w:val="hybridMultilevel"/>
    <w:lvl w:ilvl="0">
      <w:lvlJc w:val="left"/>
      <w:lvlText w:val="(%1)"/>
      <w:numFmt w:val="lowerRoman"/>
      <w:start w:val="1"/>
    </w:lvl>
  </w:abstractNum>
  <w:abstractNum w:abstractNumId="42">
    <w:nsid w:val="74DE0EE3"/>
    <w:multiLevelType w:val="hybridMultilevel"/>
    <w:lvl w:ilvl="0">
      <w:lvlJc w:val="left"/>
      <w:lvlText w:val="(%1)"/>
      <w:numFmt w:val="decimal"/>
      <w:start w:val="2"/>
    </w:lvl>
  </w:abstractNum>
  <w:abstractNum w:abstractNumId="43">
    <w:nsid w:val="68EBC550"/>
    <w:multiLevelType w:val="hybridMultilevel"/>
    <w:lvl w:ilvl="0">
      <w:lvlJc w:val="left"/>
      <w:lvlText w:val="(%1)"/>
      <w:numFmt w:val="upperLetter"/>
      <w:start w:val="1"/>
    </w:lvl>
  </w:abstractNum>
  <w:abstractNum w:abstractNumId="44">
    <w:nsid w:val="2DF6D648"/>
    <w:multiLevelType w:val="hybridMultilevel"/>
    <w:lvl w:ilvl="0">
      <w:lvlJc w:val="left"/>
      <w:lvlText w:val="(%1)"/>
      <w:numFmt w:val="upperLetter"/>
      <w:start w:val="2"/>
    </w:lvl>
  </w:abstractNum>
  <w:abstractNum w:abstractNumId="45">
    <w:nsid w:val="46B7D447"/>
    <w:multiLevelType w:val="hybridMultilevel"/>
    <w:lvl w:ilvl="0">
      <w:lvlJc w:val="left"/>
      <w:lvlText w:val="(%1)"/>
      <w:numFmt w:val="decimal"/>
      <w:start w:val="6"/>
    </w:lvl>
  </w:abstractNum>
  <w:abstractNum w:abstractNumId="46">
    <w:nsid w:val="4A2AC315"/>
    <w:multiLevelType w:val="hybridMultilevel"/>
    <w:lvl w:ilvl="0">
      <w:lvlJc w:val="left"/>
      <w:lvlText w:val="(%1)"/>
      <w:numFmt w:val="lowerRoman"/>
      <w:start w:val="1"/>
    </w:lvl>
  </w:abstractNum>
  <w:abstractNum w:abstractNumId="47">
    <w:nsid w:val="39EE015C"/>
    <w:multiLevelType w:val="hybridMultilevel"/>
    <w:lvl w:ilvl="0">
      <w:lvlJc w:val="left"/>
      <w:lvlText w:val="(%1)"/>
      <w:numFmt w:val="lowerLetter"/>
      <w:start w:val="2"/>
    </w:lvl>
  </w:abstractNum>
  <w:abstractNum w:abstractNumId="48">
    <w:nsid w:val="57FC4FBB"/>
    <w:multiLevelType w:val="hybridMultilevel"/>
    <w:lvl w:ilvl="0">
      <w:lvlJc w:val="left"/>
      <w:lvlText w:val="(%1)"/>
      <w:numFmt w:val="lowerLetter"/>
      <w:start w:val="8"/>
    </w:lvl>
  </w:abstractNum>
  <w:abstractNum w:abstractNumId="49">
    <w:nsid w:val="CC1016F"/>
    <w:multiLevelType w:val="hybridMultilevel"/>
    <w:lvl w:ilvl="0">
      <w:lvlJc w:val="left"/>
      <w:lvlText w:val="(%1)"/>
      <w:numFmt w:val="lowerLetter"/>
      <w:start w:val="10"/>
    </w:lvl>
  </w:abstractNum>
  <w:abstractNum w:abstractNumId="50">
    <w:nsid w:val="43F18422"/>
    <w:multiLevelType w:val="hybridMultilevel"/>
    <w:lvl w:ilvl="0">
      <w:lvlJc w:val="left"/>
      <w:lvlText w:val="%1."/>
      <w:numFmt w:val="decimal"/>
      <w:start w:val="2"/>
    </w:lvl>
  </w:abstractNum>
  <w:abstractNum w:abstractNumId="51">
    <w:nsid w:val="60EF0119"/>
    <w:multiLevelType w:val="hybridMultilevel"/>
    <w:lvl w:ilvl="0">
      <w:lvlJc w:val="left"/>
      <w:lvlText w:val="(%1)"/>
      <w:numFmt w:val="lowerLetter"/>
      <w:start w:val="1"/>
    </w:lvl>
    <w:lvl w:ilvl="1">
      <w:lvlJc w:val="left"/>
      <w:lvlText w:val="(%2)"/>
      <w:numFmt w:val="upperLetter"/>
    </w:lvl>
    <w:lvl w:ilvl="2">
      <w:lvlJc w:val="left"/>
      <w:lvlText w:val="(%3)"/>
      <w:numFmt w:val="lowerLetter"/>
      <w:start w:val="9"/>
    </w:lvl>
  </w:abstractNum>
  <w:abstractNum w:abstractNumId="52">
    <w:nsid w:val="26F324BA"/>
    <w:multiLevelType w:val="hybridMultilevel"/>
    <w:lvl w:ilvl="0">
      <w:lvlJc w:val="left"/>
      <w:lvlText w:val="(%1)"/>
      <w:numFmt w:val="lowerRoman"/>
      <w:start w:val="2"/>
    </w:lvl>
  </w:abstractNum>
  <w:abstractNum w:abstractNumId="53">
    <w:nsid w:val="7F01579B"/>
    <w:multiLevelType w:val="hybridMultilevel"/>
    <w:lvl w:ilvl="0">
      <w:lvlJc w:val="left"/>
      <w:lvlText w:val="(%1)"/>
      <w:numFmt w:val="lowerRoman"/>
      <w:start w:val="6"/>
    </w:lvl>
  </w:abstractNum>
  <w:abstractNum w:abstractNumId="54">
    <w:nsid w:val="49DA307D"/>
    <w:multiLevelType w:val="hybridMultilevel"/>
    <w:lvl w:ilvl="0">
      <w:lvlJc w:val="left"/>
      <w:lvlText w:val="%1"/>
      <w:numFmt w:val="lowerLetter"/>
      <w:start w:val="1"/>
    </w:lvl>
    <w:lvl w:ilvl="1">
      <w:lvlJc w:val="left"/>
      <w:lvlText w:val="(%2)"/>
      <w:numFmt w:val="lowerRoman"/>
      <w:start w:val="9"/>
    </w:lvl>
  </w:abstractNum>
  <w:abstractNum w:abstractNumId="55">
    <w:nsid w:val="7055A5F5"/>
    <w:multiLevelType w:val="hybridMultilevel"/>
    <w:lvl w:ilvl="0">
      <w:lvlJc w:val="left"/>
      <w:lvlText w:val="(%1)"/>
      <w:numFmt w:val="lowerLetter"/>
      <w:start w:val="3"/>
    </w:lvl>
    <w:lvl w:ilvl="1">
      <w:lvlJc w:val="left"/>
      <w:lvlText w:val="%2"/>
      <w:numFmt w:val="lowerRoman"/>
      <w:start w:val="1"/>
    </w:lvl>
  </w:abstractNum>
  <w:abstractNum w:abstractNumId="56">
    <w:nsid w:val="5FB8370B"/>
    <w:multiLevelType w:val="hybridMultilevel"/>
    <w:lvl w:ilvl="0">
      <w:lvlJc w:val="left"/>
      <w:lvlText w:val="%1"/>
      <w:numFmt w:val="decimal"/>
      <w:start w:val="1"/>
    </w:lvl>
    <w:lvl w:ilvl="1">
      <w:lvlJc w:val="left"/>
      <w:lvlText w:val="(%2)"/>
      <w:numFmt w:val="lowerLetter"/>
      <w:start w:val="4"/>
    </w:lvl>
  </w:abstractNum>
  <w:abstractNum w:abstractNumId="57">
    <w:nsid w:val="50801EE1"/>
    <w:multiLevelType w:val="hybridMultilevel"/>
    <w:lvl w:ilvl="0">
      <w:lvlJc w:val="left"/>
      <w:lvlText w:val="%1."/>
      <w:numFmt w:val="decimal"/>
      <w:start w:val="3"/>
    </w:lvl>
    <w:lvl w:ilvl="1">
      <w:lvlJc w:val="left"/>
      <w:lvlText w:val="(%2)"/>
      <w:numFmt w:val="lowerLetter"/>
      <w:start w:val="1"/>
    </w:lvl>
  </w:abstractNum>
  <w:abstractNum w:abstractNumId="58">
    <w:nsid w:val="488AC1A"/>
    <w:multiLevelType w:val="hybridMultilevel"/>
    <w:lvl w:ilvl="0">
      <w:lvlJc w:val="left"/>
      <w:lvlText w:val="(%1)"/>
      <w:numFmt w:val="lowerLetter"/>
      <w:start w:val="3"/>
    </w:lvl>
  </w:abstractNum>
  <w:abstractNum w:abstractNumId="59">
    <w:nsid w:val="5FB8011C"/>
    <w:multiLevelType w:val="hybridMultilevel"/>
    <w:lvl w:ilvl="0">
      <w:lvlJc w:val="left"/>
      <w:lvlText w:val="(%1)"/>
      <w:numFmt w:val="lowerLetter"/>
      <w:start w:val="5"/>
    </w:lvl>
  </w:abstractNum>
  <w:abstractNum w:abstractNumId="60">
    <w:nsid w:val="6AA78F7F"/>
    <w:multiLevelType w:val="hybridMultilevel"/>
    <w:lvl w:ilvl="0">
      <w:lvlJc w:val="left"/>
      <w:lvlText w:val="(%1)"/>
      <w:numFmt w:val="lowerLetter"/>
      <w:start w:val="7"/>
    </w:lvl>
  </w:abstractNum>
  <w:abstractNum w:abstractNumId="61">
    <w:nsid w:val="7672BD23"/>
    <w:multiLevelType w:val="hybridMultilevel"/>
    <w:lvl w:ilvl="0">
      <w:lvlJc w:val="left"/>
      <w:lvlText w:val="(%1)"/>
      <w:numFmt w:val="lowerLetter"/>
      <w:start w:val="9"/>
    </w:lvl>
  </w:abstractNum>
  <w:abstractNum w:abstractNumId="62">
    <w:nsid w:val="6FC75AF8"/>
    <w:multiLevelType w:val="hybridMultilevel"/>
    <w:lvl w:ilvl="0">
      <w:lvlJc w:val="left"/>
      <w:lvlText w:val="(%1)"/>
      <w:numFmt w:val="lowerLetter"/>
      <w:start w:val="12"/>
    </w:lvl>
  </w:abstractNum>
  <w:abstractNum w:abstractNumId="63">
    <w:nsid w:val="6A5F7029"/>
    <w:multiLevelType w:val="hybridMultilevel"/>
    <w:lvl w:ilvl="0">
      <w:lvlJc w:val="left"/>
      <w:lvlText w:val="(%1)"/>
      <w:numFmt w:val="lowerLetter"/>
      <w:start w:val="14"/>
    </w:lvl>
  </w:abstractNum>
  <w:abstractNum w:abstractNumId="64">
    <w:nsid w:val="7D5E18F8"/>
    <w:multiLevelType w:val="hybridMultilevel"/>
    <w:lvl w:ilvl="0">
      <w:lvlJc w:val="left"/>
      <w:lvlText w:val="(%1)"/>
      <w:numFmt w:val="lowerLetter"/>
      <w:start w:val="16"/>
    </w:lvl>
  </w:abstractNum>
  <w:abstractNum w:abstractNumId="65">
    <w:nsid w:val="5F3534A4"/>
    <w:multiLevelType w:val="hybridMultilevel"/>
    <w:lvl w:ilvl="0">
      <w:lvlJc w:val="left"/>
      <w:lvlText w:val="(%1)"/>
      <w:numFmt w:val="lowerLetter"/>
      <w:start w:val="19"/>
    </w:lvl>
  </w:abstractNum>
  <w:abstractNum w:abstractNumId="66">
    <w:nsid w:val="73A1821B"/>
    <w:multiLevelType w:val="hybridMultilevel"/>
    <w:lvl w:ilvl="0">
      <w:lvlJc w:val="left"/>
      <w:lvlText w:val="(%1)"/>
      <w:numFmt w:val="lowerLetter"/>
      <w:start w:val="22"/>
    </w:lvl>
  </w:abstractNum>
  <w:abstractNum w:abstractNumId="67">
    <w:nsid w:val="7DE67713"/>
    <w:multiLevelType w:val="hybridMultilevel"/>
    <w:lvl w:ilvl="0">
      <w:lvlJc w:val="left"/>
      <w:lvlText w:val="(%1)"/>
      <w:numFmt w:val="lowerLetter"/>
      <w:start w:val="25"/>
    </w:lvl>
  </w:abstractNum>
  <w:abstractNum w:abstractNumId="68">
    <w:nsid w:val="555C55B5"/>
    <w:multiLevelType w:val="hybridMultilevel"/>
    <w:lvl w:ilvl="0">
      <w:lvlJc w:val="left"/>
      <w:lvlText w:val="(%1)"/>
      <w:numFmt w:val="lowerLetter"/>
      <w:start w:val="26"/>
    </w:lvl>
  </w:abstractNum>
  <w:abstractNum w:abstractNumId="69">
    <w:nsid w:val="3FA62ACA"/>
    <w:multiLevelType w:val="hybridMultilevel"/>
    <w:lvl w:ilvl="0">
      <w:lvlJc w:val="left"/>
      <w:lvlText w:val="(%1)"/>
      <w:numFmt w:val="lowerLetter"/>
      <w:start w:val="27"/>
    </w:lvl>
  </w:abstractNum>
  <w:abstractNum w:abstractNumId="70">
    <w:nsid w:val="14FCE74E"/>
    <w:multiLevelType w:val="hybridMultilevel"/>
    <w:lvl w:ilvl="0">
      <w:lvlJc w:val="left"/>
      <w:lvlText w:val="%1"/>
      <w:numFmt w:val="lowerLetter"/>
      <w:start w:val="1"/>
    </w:lvl>
    <w:lvl w:ilvl="1">
      <w:lvlJc w:val="left"/>
      <w:lvlText w:val="(%2)"/>
      <w:numFmt w:val="lowerLetter"/>
      <w:start w:val="31"/>
    </w:lvl>
  </w:abstractNum>
  <w:abstractNum w:abstractNumId="71">
    <w:nsid w:val="6A3DD3E8"/>
    <w:multiLevelType w:val="hybridMultilevel"/>
    <w:lvl w:ilvl="0">
      <w:lvlJc w:val="left"/>
      <w:lvlText w:val="(%1)"/>
      <w:numFmt w:val="lowerLetter"/>
      <w:start w:val="61"/>
    </w:lvl>
    <w:lvl w:ilvl="1">
      <w:lvlJc w:val="left"/>
      <w:lvlText w:val="%2"/>
      <w:numFmt w:val="lowerLetter"/>
      <w:start w:val="1"/>
    </w:lvl>
  </w:abstractNum>
  <w:abstractNum w:abstractNumId="72">
    <w:nsid w:val="71C91298"/>
    <w:multiLevelType w:val="hybridMultilevel"/>
    <w:lvl w:ilvl="0">
      <w:lvlJc w:val="left"/>
      <w:lvlText w:val="(%1)"/>
      <w:numFmt w:val="lowerLetter"/>
      <w:start w:val="33"/>
    </w:lvl>
  </w:abstractNum>
  <w:abstractNum w:abstractNumId="73">
    <w:nsid w:val="9DAF632"/>
    <w:multiLevelType w:val="hybridMultilevel"/>
    <w:lvl w:ilvl="0">
      <w:lvlJc w:val="left"/>
      <w:lvlText w:val="(%1)"/>
      <w:numFmt w:val="lowerRoman"/>
      <w:start w:val="6"/>
    </w:lvl>
    <w:lvl w:ilvl="1">
      <w:lvlJc w:val="left"/>
      <w:lvlText w:val="(%2)"/>
      <w:numFmt w:val="lowerLetter"/>
      <w:start w:val="37"/>
    </w:lvl>
  </w:abstractNum>
  <w:abstractNum w:abstractNumId="74">
    <w:nsid w:val="53299938"/>
    <w:multiLevelType w:val="hybridMultilevel"/>
    <w:lvl w:ilvl="0">
      <w:lvlJc w:val="left"/>
      <w:lvlText w:val="(%1)"/>
      <w:numFmt w:val="lowerLetter"/>
      <w:start w:val="38"/>
    </w:lvl>
  </w:abstractNum>
  <w:abstractNum w:abstractNumId="75">
    <w:nsid w:val="1FBFE8E0"/>
    <w:multiLevelType w:val="hybridMultilevel"/>
    <w:lvl w:ilvl="0">
      <w:lvlJc w:val="left"/>
      <w:lvlText w:val="(%1)"/>
      <w:numFmt w:val="lowerLetter"/>
      <w:start w:val="41"/>
    </w:lvl>
  </w:abstractNum>
  <w:abstractNum w:abstractNumId="76">
    <w:nsid w:val="5092CA79"/>
    <w:multiLevelType w:val="hybridMultilevel"/>
    <w:lvl w:ilvl="0">
      <w:lvlJc w:val="left"/>
      <w:lvlText w:val="%1"/>
      <w:numFmt w:val="decimal"/>
      <w:start w:val="1"/>
    </w:lvl>
    <w:lvl w:ilvl="1">
      <w:lvlJc w:val="left"/>
      <w:lvlText w:val="(%2)"/>
      <w:numFmt w:val="lowerLetter"/>
      <w:start w:val="42"/>
    </w:lvl>
  </w:abstractNum>
  <w:abstractNum w:abstractNumId="77">
    <w:nsid w:val="1D545C4D"/>
    <w:multiLevelType w:val="hybridMultilevel"/>
    <w:lvl w:ilvl="0">
      <w:lvlJc w:val="left"/>
      <w:lvlText w:val="%1."/>
      <w:numFmt w:val="decimal"/>
      <w:start w:val="4"/>
    </w:lvl>
    <w:lvl w:ilvl="1">
      <w:lvlJc w:val="left"/>
      <w:lvlText w:val="(%2)"/>
      <w:numFmt w:val="lowerLetter"/>
      <w:start w:val="1"/>
    </w:lvl>
  </w:abstractNum>
  <w:abstractNum w:abstractNumId="78">
    <w:nsid w:val="59ADEA3D"/>
    <w:multiLevelType w:val="hybridMultilevel"/>
    <w:lvl w:ilvl="0">
      <w:lvlJc w:val="left"/>
      <w:lvlText w:val="(%1)"/>
      <w:numFmt w:val="lowerLetter"/>
      <w:start w:val="2"/>
    </w:lvl>
  </w:abstractNum>
  <w:abstractNum w:abstractNumId="79">
    <w:nsid w:val="288F1A34"/>
    <w:multiLevelType w:val="hybridMultilevel"/>
    <w:lvl w:ilvl="0">
      <w:lvlJc w:val="left"/>
      <w:lvlText w:val="%1"/>
      <w:numFmt w:val="lowerLetter"/>
      <w:start w:val="1"/>
    </w:lvl>
    <w:lvl w:ilvl="1">
      <w:lvlJc w:val="left"/>
      <w:lvlText w:val="(%2)"/>
      <w:numFmt w:val="lowerLetter"/>
      <w:start w:val="3"/>
    </w:lvl>
  </w:abstractNum>
  <w:abstractNum w:abstractNumId="80">
    <w:nsid w:val="2A155DBC"/>
    <w:multiLevelType w:val="hybridMultilevel"/>
    <w:lvl w:ilvl="0">
      <w:lvlJc w:val="left"/>
      <w:lvlText w:val="(%1)"/>
      <w:numFmt w:val="lowerLetter"/>
      <w:start w:val="9"/>
    </w:lvl>
    <w:lvl w:ilvl="1">
      <w:lvlJc w:val="left"/>
      <w:lvlText w:val="(%2)"/>
      <w:numFmt w:val="lowerLetter"/>
      <w:start w:val="4"/>
    </w:lvl>
  </w:abstractNum>
  <w:abstractNum w:abstractNumId="81">
    <w:nsid w:val="1D9F6E5F"/>
    <w:multiLevelType w:val="hybridMultilevel"/>
    <w:lvl w:ilvl="0">
      <w:lvlJc w:val="left"/>
      <w:lvlText w:val="(%1)"/>
      <w:numFmt w:val="lowerLetter"/>
      <w:start w:val="7"/>
    </w:lvl>
  </w:abstractNum>
  <w:abstractNum w:abstractNumId="82">
    <w:nsid w:val="97E1B4E"/>
    <w:multiLevelType w:val="hybridMultilevel"/>
    <w:lvl w:ilvl="0">
      <w:lvlJc w:val="left"/>
      <w:lvlText w:val="%1"/>
      <w:numFmt w:val="decimal"/>
      <w:start w:val="1"/>
    </w:lvl>
    <w:lvl w:ilvl="1">
      <w:lvlJc w:val="left"/>
      <w:lvlText w:val="(%2)"/>
      <w:numFmt w:val="lowerLetter"/>
      <w:start w:val="11"/>
    </w:lvl>
  </w:abstractNum>
  <w:abstractNum w:abstractNumId="83">
    <w:nsid w:val="51088277"/>
    <w:multiLevelType w:val="hybridMultilevel"/>
    <w:lvl w:ilvl="0">
      <w:lvlJc w:val="left"/>
      <w:lvlText w:val="(%1)"/>
      <w:numFmt w:val="decimal"/>
      <w:start w:val="30"/>
    </w:lvl>
    <w:lvl w:ilvl="1">
      <w:lvlJc w:val="left"/>
      <w:lvlText w:val="(%2)"/>
      <w:numFmt w:val="lowerLetter"/>
      <w:start w:val="12"/>
    </w:lvl>
  </w:abstractNum>
  <w:abstractNum w:abstractNumId="84">
    <w:nsid w:val="1CA0C5FA"/>
    <w:multiLevelType w:val="hybridMultilevel"/>
    <w:lvl w:ilvl="0">
      <w:lvlJc w:val="left"/>
      <w:lvlText w:val="(%1)"/>
      <w:numFmt w:val="lowerLetter"/>
      <w:start w:val="14"/>
    </w:lvl>
  </w:abstractNum>
  <w:abstractNum w:abstractNumId="85">
    <w:nsid w:val="53584BCB"/>
    <w:multiLevelType w:val="hybridMultilevel"/>
    <w:lvl w:ilvl="0">
      <w:lvlJc w:val="left"/>
      <w:lvlText w:val="(%1)"/>
      <w:numFmt w:val="lowerLetter"/>
      <w:start w:val="17"/>
    </w:lvl>
  </w:abstractNum>
  <w:abstractNum w:abstractNumId="86">
    <w:nsid w:val="415E286C"/>
    <w:multiLevelType w:val="hybridMultilevel"/>
    <w:lvl w:ilvl="0">
      <w:lvlJc w:val="left"/>
      <w:lvlText w:val="%1"/>
      <w:numFmt w:val="decimal"/>
      <w:start w:val="1"/>
    </w:lvl>
    <w:lvl w:ilvl="1">
      <w:lvlJc w:val="left"/>
      <w:lvlText w:val="(%2)"/>
      <w:numFmt w:val="lowerRoman"/>
      <w:start w:val="10"/>
    </w:lvl>
  </w:abstractNum>
  <w:abstractNum w:abstractNumId="87">
    <w:nsid w:val="7C58FD05"/>
    <w:multiLevelType w:val="hybridMultilevel"/>
    <w:lvl w:ilvl="0">
      <w:lvlJc w:val="left"/>
      <w:lvlText w:val="%1."/>
      <w:numFmt w:val="decimal"/>
      <w:start w:val="5"/>
    </w:lvl>
    <w:lvl w:ilvl="1">
      <w:lvlJc w:val="left"/>
      <w:lvlText w:val="%2"/>
      <w:numFmt w:val="lowerRoman"/>
      <w:start w:val="1"/>
    </w:lvl>
  </w:abstractNum>
  <w:abstractNum w:abstractNumId="88">
    <w:nsid w:val="23D86AAC"/>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lvl w:ilvl="3">
      <w:lvlJc w:val="left"/>
      <w:lvlText w:val="%4"/>
      <w:numFmt w:val="lowerRoman"/>
      <w:start w:val="1"/>
    </w:lvl>
  </w:abstractNum>
  <w:abstractNum w:abstractNumId="89">
    <w:nsid w:val="45E6D486"/>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90">
    <w:nsid w:val="5C10FE21"/>
    <w:multiLevelType w:val="hybridMultilevel"/>
    <w:lvl w:ilvl="0">
      <w:lvlJc w:val="left"/>
      <w:lvlText w:val="%1"/>
      <w:numFmt w:val="lowerLetter"/>
      <w:start w:val="1"/>
    </w:lvl>
    <w:lvl w:ilvl="1">
      <w:lvlJc w:val="left"/>
      <w:lvlText w:val="(%2)"/>
      <w:numFmt w:val="lowerLetter"/>
      <w:start w:val="61"/>
    </w:lvl>
  </w:abstractNum>
  <w:abstractNum w:abstractNumId="91">
    <w:nsid w:val="E7FFA2B"/>
    <w:multiLevelType w:val="hybridMultilevel"/>
    <w:lvl w:ilvl="0">
      <w:lvlJc w:val="left"/>
      <w:lvlText w:val="(%1)"/>
      <w:numFmt w:val="lowerLetter"/>
      <w:start w:val="4"/>
    </w:lvl>
    <w:lvl w:ilvl="1">
      <w:lvlJc w:val="left"/>
      <w:lvlText w:val="%2"/>
      <w:numFmt w:val="lowerLetter"/>
      <w:start w:val="1"/>
    </w:lvl>
  </w:abstractNum>
  <w:abstractNum w:abstractNumId="92">
    <w:nsid w:val="3C5991AA"/>
    <w:multiLevelType w:val="hybridMultilevel"/>
    <w:lvl w:ilvl="0">
      <w:lvlJc w:val="left"/>
      <w:lvlText w:val="(%1)"/>
      <w:numFmt w:val="lowerLetter"/>
      <w:start w:val="8"/>
    </w:lvl>
  </w:abstractNum>
  <w:abstractNum w:abstractNumId="93">
    <w:nsid w:val="4BD8591A"/>
    <w:multiLevelType w:val="hybridMultilevel"/>
    <w:lvl w:ilvl="0">
      <w:lvlJc w:val="left"/>
      <w:lvlText w:val="%1."/>
      <w:numFmt w:val="decimal"/>
      <w:start w:val="7"/>
    </w:lvl>
    <w:lvl w:ilvl="1">
      <w:lvlJc w:val="left"/>
      <w:lvlText w:val="(%2)"/>
      <w:numFmt w:val="lowerLetter"/>
      <w:start w:val="1"/>
    </w:lvl>
  </w:abstractNum>
  <w:abstractNum w:abstractNumId="94">
    <w:nsid w:val="78DF6A55"/>
    <w:multiLevelType w:val="hybridMultilevel"/>
    <w:lvl w:ilvl="0">
      <w:lvlJc w:val="left"/>
      <w:lvlText w:val="(%1)"/>
      <w:numFmt w:val="lowerLetter"/>
      <w:start w:val="2"/>
    </w:lvl>
  </w:abstractNum>
  <w:abstractNum w:abstractNumId="95">
    <w:nsid w:val="39B7AAA2"/>
    <w:multiLevelType w:val="hybridMultilevel"/>
    <w:lvl w:ilvl="0">
      <w:lvlJc w:val="left"/>
      <w:lvlText w:val="(%1)"/>
      <w:numFmt w:val="lowerLetter"/>
      <w:start w:val="4"/>
    </w:lvl>
  </w:abstractNum>
  <w:abstractNum w:abstractNumId="96">
    <w:nsid w:val="2B0D8DBE"/>
    <w:multiLevelType w:val="hybridMultilevel"/>
    <w:lvl w:ilvl="0">
      <w:lvlJc w:val="left"/>
      <w:lvlText w:val="%1."/>
      <w:numFmt w:val="decimal"/>
      <w:start w:val="8"/>
    </w:lvl>
    <w:lvl w:ilvl="1">
      <w:lvlJc w:val="left"/>
      <w:lvlText w:val="(%2)"/>
      <w:numFmt w:val="lowerLetter"/>
      <w:start w:val="1"/>
    </w:lvl>
  </w:abstractNum>
  <w:abstractNum w:abstractNumId="97">
    <w:nsid w:val="6C80EC70"/>
    <w:multiLevelType w:val="hybridMultilevel"/>
    <w:lvl w:ilvl="0">
      <w:lvlJc w:val="left"/>
      <w:lvlText w:val="(%1)"/>
      <w:numFmt w:val="lowerLetter"/>
      <w:start w:val="2"/>
    </w:lvl>
    <w:lvl w:ilvl="1">
      <w:lvlJc w:val="left"/>
      <w:lvlText w:val="(%2)"/>
      <w:numFmt w:val="lowerLetter"/>
      <w:start w:val="4"/>
    </w:lvl>
  </w:abstractNum>
  <w:abstractNum w:abstractNumId="98">
    <w:nsid w:val="379E21B5"/>
    <w:multiLevelType w:val="hybridMultilevel"/>
    <w:lvl w:ilvl="0">
      <w:lvlJc w:val="left"/>
      <w:lvlText w:val="%1."/>
      <w:numFmt w:val="decimal"/>
      <w:start w:val="9"/>
    </w:lvl>
  </w:abstractNum>
  <w:abstractNum w:abstractNumId="99">
    <w:nsid w:val="69E373"/>
    <w:multiLevelType w:val="hybridMultilevel"/>
    <w:lvl w:ilvl="0">
      <w:lvlJc w:val="left"/>
      <w:lvlText w:val="%1."/>
      <w:numFmt w:val="decimal"/>
      <w:start w:val="13"/>
    </w:lvl>
  </w:abstractNum>
  <w:abstractNum w:abstractNumId="100">
    <w:nsid w:val="2C27173B"/>
    <w:multiLevelType w:val="hybridMultilevel"/>
    <w:lvl w:ilvl="0">
      <w:lvlJc w:val="left"/>
      <w:lvlText w:val="%1."/>
      <w:numFmt w:val="decimal"/>
      <w:start w:val="14"/>
    </w:lvl>
  </w:abstractNum>
  <w:abstractNum w:abstractNumId="101">
    <w:nsid w:val="4C9B0904"/>
    <w:multiLevelType w:val="hybridMultilevel"/>
    <w:lvl w:ilvl="0">
      <w:lvlJc w:val="left"/>
      <w:lvlText w:val="%1."/>
      <w:numFmt w:val="decimal"/>
      <w:start w:val="18"/>
    </w:lvl>
  </w:abstractNum>
  <w:abstractNum w:abstractNumId="102">
    <w:nsid w:val="6AA7B75C"/>
    <w:multiLevelType w:val="hybridMultilevel"/>
    <w:lvl w:ilvl="0">
      <w:lvlJc w:val="left"/>
      <w:lvlText w:val="(%1)"/>
      <w:numFmt w:val="lowerLetter"/>
      <w:start w:val="1"/>
    </w:lvl>
  </w:abstractNum>
  <w:abstractNum w:abstractNumId="103">
    <w:nsid w:val="1DF029D3"/>
    <w:multiLevelType w:val="hybridMultilevel"/>
    <w:lvl w:ilvl="0">
      <w:lvlJc w:val="left"/>
      <w:lvlText w:val="(%1)"/>
      <w:numFmt w:val="lowerRoman"/>
      <w:start w:val="2"/>
    </w:lvl>
  </w:abstractNum>
  <w:abstractNum w:abstractNumId="104">
    <w:nsid w:val="5675FF36"/>
    <w:multiLevelType w:val="hybridMultilevel"/>
    <w:lvl w:ilvl="0">
      <w:lvlJc w:val="left"/>
      <w:lvlText w:val="(%1)"/>
      <w:numFmt w:val="lowerLetter"/>
      <w:start w:val="2"/>
    </w:lvl>
  </w:abstractNum>
  <w:abstractNum w:abstractNumId="105">
    <w:nsid w:val="3DD15094"/>
    <w:multiLevelType w:val="hybridMultilevel"/>
    <w:lvl w:ilvl="0">
      <w:lvlJc w:val="left"/>
      <w:lvlText w:val="(%1)"/>
      <w:numFmt w:val="lowerLetter"/>
      <w:start w:val="1"/>
    </w:lvl>
  </w:abstractNum>
  <w:abstractNum w:abstractNumId="106">
    <w:nsid w:val="3DB012B3"/>
    <w:multiLevelType w:val="hybridMultilevel"/>
    <w:lvl w:ilvl="0">
      <w:lvlJc w:val="left"/>
      <w:lvlText w:val="(%1)"/>
      <w:numFmt w:val="lowerLetter"/>
      <w:start w:val="1"/>
    </w:lvl>
    <w:lvl w:ilvl="1">
      <w:lvlJc w:val="left"/>
      <w:lvlText w:val="(%2)"/>
      <w:numFmt w:val="lowerRoman"/>
      <w:start w:val="1"/>
    </w:lvl>
  </w:abstractNum>
  <w:abstractNum w:abstractNumId="107">
    <w:nsid w:val="2708C9AF"/>
    <w:multiLevelType w:val="hybridMultilevel"/>
    <w:lvl w:ilvl="0">
      <w:lvlJc w:val="left"/>
      <w:lvlText w:val="%1"/>
      <w:numFmt w:val="lowerLetter"/>
      <w:start w:val="1"/>
    </w:lvl>
    <w:lvl w:ilvl="1">
      <w:lvlJc w:val="left"/>
      <w:lvlText w:val="(%2)"/>
      <w:numFmt w:val="lowerRoman"/>
      <w:start w:val="2"/>
    </w:lvl>
  </w:abstractNum>
  <w:abstractNum w:abstractNumId="108">
    <w:nsid w:val="5B25ACE2"/>
    <w:multiLevelType w:val="hybridMultilevel"/>
    <w:lvl w:ilvl="0">
      <w:lvlJc w:val="left"/>
      <w:lvlText w:val="(%1)"/>
      <w:numFmt w:val="lowerLetter"/>
      <w:start w:val="6"/>
    </w:lvl>
    <w:lvl w:ilvl="1">
      <w:lvlJc w:val="left"/>
      <w:lvlText w:val="%2"/>
      <w:numFmt w:val="lowerRoman"/>
      <w:start w:val="1"/>
    </w:lvl>
  </w:abstractNum>
  <w:abstractNum w:abstractNumId="109">
    <w:nsid w:val="175DFCF0"/>
    <w:multiLevelType w:val="hybridMultilevel"/>
    <w:lvl w:ilvl="0">
      <w:lvlJc w:val="left"/>
      <w:lvlText w:val="(%1)"/>
      <w:numFmt w:val="lowerLetter"/>
      <w:start w:val="1"/>
    </w:lvl>
  </w:abstractNum>
  <w:abstractNum w:abstractNumId="110">
    <w:nsid w:val="4F97E3E4"/>
    <w:multiLevelType w:val="hybridMultilevel"/>
    <w:lvl w:ilvl="0">
      <w:lvlJc w:val="left"/>
      <w:lvlText w:val="(%1)"/>
      <w:numFmt w:val="lowerLetter"/>
      <w:start w:val="1"/>
    </w:lvl>
  </w:abstractNum>
  <w:abstractNum w:abstractNumId="111">
    <w:nsid w:val="53B0A9E"/>
    <w:multiLevelType w:val="hybridMultilevel"/>
    <w:lvl w:ilvl="0">
      <w:lvlJc w:val="left"/>
      <w:lvlText w:val="(%1)"/>
      <w:numFmt w:val="lowerLetter"/>
      <w:start w:val="1"/>
    </w:lvl>
  </w:abstractNum>
  <w:abstractNum w:abstractNumId="112">
    <w:nsid w:val="34FD6B4F"/>
    <w:multiLevelType w:val="hybridMultilevel"/>
    <w:lvl w:ilvl="0">
      <w:lvlJc w:val="left"/>
      <w:lvlText w:val="(%1)"/>
      <w:numFmt w:val="lowerLetter"/>
      <w:start w:val="1"/>
    </w:lvl>
  </w:abstractNum>
  <w:abstractNum w:abstractNumId="113">
    <w:nsid w:val="5915FF32"/>
    <w:multiLevelType w:val="hybridMultilevel"/>
    <w:lvl w:ilvl="0">
      <w:lvlJc w:val="left"/>
      <w:lvlText w:val="(%1)"/>
      <w:numFmt w:val="lowerLetter"/>
      <w:start w:val="1"/>
    </w:lvl>
    <w:lvl w:ilvl="1">
      <w:lvlJc w:val="left"/>
      <w:lvlText w:val="(%2)"/>
      <w:numFmt w:val="lowerRoman"/>
      <w:start w:val="1"/>
    </w:lvl>
  </w:abstractNum>
  <w:abstractNum w:abstractNumId="114">
    <w:nsid w:val="56438D15"/>
    <w:multiLevelType w:val="hybridMultilevel"/>
    <w:lvl w:ilvl="0">
      <w:lvlJc w:val="left"/>
      <w:lvlText w:val="(%1)"/>
      <w:numFmt w:val="lowerLetter"/>
      <w:start w:val="3"/>
    </w:lvl>
    <w:lvl w:ilvl="1">
      <w:lvlJc w:val="left"/>
      <w:lvlText w:val="(%2)"/>
      <w:numFmt w:val="lowerRoman"/>
      <w:start w:val="1"/>
    </w:lvl>
  </w:abstractNum>
  <w:abstractNum w:abstractNumId="115">
    <w:nsid w:val="519E3149"/>
    <w:multiLevelType w:val="hybridMultilevel"/>
    <w:lvl w:ilvl="0">
      <w:lvlJc w:val="left"/>
      <w:lvlText w:val="(%1)"/>
      <w:numFmt w:val="lowerLetter"/>
      <w:start w:val="1"/>
    </w:lvl>
  </w:abstractNum>
  <w:abstractNum w:abstractNumId="116">
    <w:nsid w:val="2C6E4AFD"/>
    <w:multiLevelType w:val="hybridMultilevel"/>
    <w:lvl w:ilvl="0">
      <w:lvlJc w:val="left"/>
      <w:lvlText w:val="(%1)"/>
      <w:numFmt w:val="lowerLetter"/>
      <w:start w:val="10"/>
    </w:lvl>
  </w:abstractNum>
  <w:abstractNum w:abstractNumId="117">
    <w:nsid w:val="17A1B582"/>
    <w:multiLevelType w:val="hybridMultilevel"/>
    <w:lvl w:ilvl="0">
      <w:lvlJc w:val="left"/>
      <w:lvlText w:val="(%1)"/>
      <w:numFmt w:val="lowerLetter"/>
      <w:start w:val="1"/>
    </w:lvl>
  </w:abstractNum>
  <w:abstractNum w:abstractNumId="118">
    <w:nsid w:val="4DF72E4E"/>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lvl w:ilvl="3">
      <w:lvlJc w:val="left"/>
      <w:lvlText w:val="(%4)"/>
      <w:numFmt w:val="decimal"/>
      <w:start w:val="1"/>
    </w:lvl>
  </w:abstractNum>
  <w:abstractNum w:abstractNumId="119">
    <w:nsid w:val="5046B5A9"/>
    <w:multiLevelType w:val="hybridMultilevel"/>
    <w:lvl w:ilvl="0">
      <w:lvlJc w:val="left"/>
      <w:lvlText w:val="(%1)"/>
      <w:numFmt w:val="lowerLetter"/>
      <w:start w:val="1"/>
    </w:lvl>
  </w:abstractNum>
  <w:abstractNum w:abstractNumId="120">
    <w:nsid w:val="5D888A08"/>
    <w:multiLevelType w:val="hybridMultilevel"/>
    <w:lvl w:ilvl="0">
      <w:lvlJc w:val="left"/>
      <w:lvlText w:val="(%1)"/>
      <w:numFmt w:val="lowerLetter"/>
      <w:start w:val="1"/>
    </w:lvl>
  </w:abstractNum>
  <w:abstractNum w:abstractNumId="121">
    <w:nsid w:val="2A082C70"/>
    <w:multiLevelType w:val="hybridMultilevel"/>
    <w:lvl w:ilvl="0">
      <w:lvlJc w:val="left"/>
      <w:lvlText w:val="(%1)"/>
      <w:numFmt w:val="lowerLetter"/>
      <w:start w:val="2"/>
    </w:lvl>
  </w:abstractNum>
  <w:abstractNum w:abstractNumId="122">
    <w:nsid w:val="5EC6AFD4"/>
    <w:multiLevelType w:val="hybridMultilevel"/>
    <w:lvl w:ilvl="0">
      <w:lvlJc w:val="left"/>
      <w:lvlText w:val="(%1)"/>
      <w:numFmt w:val="lowerLetter"/>
      <w:start w:val="8"/>
    </w:lvl>
  </w:abstractNum>
  <w:abstractNum w:abstractNumId="123">
    <w:nsid w:val="19E21BB2"/>
    <w:multiLevelType w:val="hybridMultilevel"/>
    <w:lvl w:ilvl="0">
      <w:lvlJc w:val="left"/>
      <w:lvlText w:val="(%1)"/>
      <w:numFmt w:val="lowerLetter"/>
      <w:start w:val="1"/>
    </w:lvl>
  </w:abstractNum>
  <w:abstractNum w:abstractNumId="124">
    <w:nsid w:val="75E0858A"/>
    <w:multiLevelType w:val="hybridMultilevel"/>
    <w:lvl w:ilvl="0">
      <w:lvlJc w:val="left"/>
      <w:lvlText w:val="(%1)"/>
      <w:numFmt w:val="lowerLetter"/>
      <w:start w:val="4"/>
    </w:lvl>
  </w:abstractNum>
  <w:abstractNum w:abstractNumId="125">
    <w:nsid w:val="57A61A29"/>
    <w:multiLevelType w:val="hybridMultilevel"/>
    <w:lvl w:ilvl="0">
      <w:lvlJc w:val="left"/>
      <w:lvlText w:val="(%1)"/>
      <w:numFmt w:val="lowerLetter"/>
      <w:start w:val="2"/>
    </w:lvl>
  </w:abstractNum>
  <w:abstractNum w:abstractNumId="126">
    <w:nsid w:val="5399C654"/>
    <w:multiLevelType w:val="hybridMultilevel"/>
    <w:lvl w:ilvl="0">
      <w:lvlJc w:val="left"/>
      <w:lvlText w:val="(%1)"/>
      <w:numFmt w:val="lowerLetter"/>
      <w:start w:val="1"/>
    </w:lvl>
  </w:abstractNum>
  <w:abstractNum w:abstractNumId="127">
    <w:nsid w:val="20EE1348"/>
    <w:multiLevelType w:val="hybridMultilevel"/>
    <w:lvl w:ilvl="0">
      <w:lvlJc w:val="left"/>
      <w:lvlText w:val="%1"/>
      <w:numFmt w:val="decimal"/>
      <w:start w:val="101"/>
    </w:lvl>
  </w:abstractNum>
  <w:abstractNum w:abstractNumId="128">
    <w:nsid w:val="4427069A"/>
    <w:multiLevelType w:val="hybridMultilevel"/>
    <w:lvl w:ilvl="0">
      <w:lvlJc w:val="left"/>
      <w:lvlText w:val="(%1)"/>
      <w:numFmt w:val="lowerLetter"/>
      <w:start w:val="1"/>
    </w:lvl>
  </w:abstractNum>
  <w:abstractNum w:abstractNumId="129">
    <w:nsid w:val="B37E80A"/>
    <w:multiLevelType w:val="hybridMultilevel"/>
    <w:lvl w:ilvl="0">
      <w:lvlJc w:val="left"/>
      <w:lvlText w:val="(%1)"/>
      <w:numFmt w:val="lowerLetter"/>
      <w:start w:val="1"/>
    </w:lvl>
  </w:abstractNum>
  <w:abstractNum w:abstractNumId="130">
    <w:nsid w:val="2157F6BC"/>
    <w:multiLevelType w:val="hybridMultilevel"/>
    <w:lvl w:ilvl="0">
      <w:lvlJc w:val="left"/>
      <w:lvlText w:val="%1"/>
      <w:numFmt w:val="decimal"/>
      <w:start w:val="101"/>
    </w:lvl>
  </w:abstractNum>
  <w:abstractNum w:abstractNumId="131">
    <w:nsid w:val="704E1DD5"/>
    <w:multiLevelType w:val="hybridMultilevel"/>
    <w:lvl w:ilvl="0">
      <w:lvlJc w:val="left"/>
      <w:lvlText w:val="%1."/>
      <w:numFmt w:val="decimal"/>
      <w:start w:val="1"/>
    </w:lvl>
  </w:abstractNum>
  <w:abstractNum w:abstractNumId="132">
    <w:nsid w:val="57D2F10E"/>
    <w:multiLevelType w:val="hybridMultilevel"/>
    <w:lvl w:ilvl="0">
      <w:lvlJc w:val="left"/>
      <w:lvlText w:val="%1."/>
      <w:numFmt w:val="decimal"/>
      <w:start w:val="5"/>
    </w:lvl>
  </w:abstractNum>
  <w:abstractNum w:abstractNumId="133">
    <w:nsid w:val="BFFAE18"/>
    <w:multiLevelType w:val="hybridMultilevel"/>
    <w:lvl w:ilvl="0">
      <w:lvlJc w:val="left"/>
      <w:lvlText w:val="(%1)"/>
      <w:numFmt w:val="lowerRoman"/>
      <w:start w:val="1"/>
    </w:lvl>
  </w:abstractNum>
  <w:abstractNum w:abstractNumId="134">
    <w:nsid w:val="E3E47A8"/>
    <w:multiLevelType w:val="hybridMultilevel"/>
    <w:lvl w:ilvl="0">
      <w:lvlJc w:val="left"/>
      <w:lvlText w:val="(%1)"/>
      <w:numFmt w:val="decimal"/>
      <w:start w:val="1"/>
    </w:lvl>
  </w:abstractNum>
  <w:abstractNum w:abstractNumId="135">
    <w:nsid w:val="2E48F044"/>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9" Type="http://schemas.openxmlformats.org/officeDocument/2006/relationships/image" Target="media/image20.png"/><Relationship Id="rId45" Type="http://schemas.openxmlformats.org/officeDocument/2006/relationships/image" Target="media/image21.png"/><Relationship Id="rId46" Type="http://schemas.openxmlformats.org/officeDocument/2006/relationships/image" Target="media/image22.png"/><Relationship Id="rId47" Type="http://schemas.openxmlformats.org/officeDocument/2006/relationships/image" Target="media/image23.png"/><Relationship Id="rId48" Type="http://schemas.openxmlformats.org/officeDocument/2006/relationships/image" Target="media/image24.png"/><Relationship Id="rId49" Type="http://schemas.openxmlformats.org/officeDocument/2006/relationships/image" Target="media/image25.png"/><Relationship Id="rId50" Type="http://schemas.openxmlformats.org/officeDocument/2006/relationships/image" Target="media/image26.png"/><Relationship Id="rId51" Type="http://schemas.openxmlformats.org/officeDocument/2006/relationships/image" Target="media/image27.png"/><Relationship Id="rId52" Type="http://schemas.openxmlformats.org/officeDocument/2006/relationships/image" Target="media/image28.png"/><Relationship Id="rId53" Type="http://schemas.openxmlformats.org/officeDocument/2006/relationships/image" Target="media/image29.png"/><Relationship Id="rId54" Type="http://schemas.openxmlformats.org/officeDocument/2006/relationships/image" Target="media/image30.png"/><Relationship Id="rId55" Type="http://schemas.openxmlformats.org/officeDocument/2006/relationships/image" Target="media/image31.png"/><Relationship Id="rId56" Type="http://schemas.openxmlformats.org/officeDocument/2006/relationships/image" Target="media/image32.png"/><Relationship Id="rId57" Type="http://schemas.openxmlformats.org/officeDocument/2006/relationships/image" Target="media/image33.png"/><Relationship Id="rId58" Type="http://schemas.openxmlformats.org/officeDocument/2006/relationships/image" Target="media/image34.png"/><Relationship Id="rId59" Type="http://schemas.openxmlformats.org/officeDocument/2006/relationships/image" Target="media/image35.png"/><Relationship Id="rId60" Type="http://schemas.openxmlformats.org/officeDocument/2006/relationships/image" Target="media/image36.png"/><Relationship Id="rId61" Type="http://schemas.openxmlformats.org/officeDocument/2006/relationships/image" Target="media/image37.png"/><Relationship Id="rId62" Type="http://schemas.openxmlformats.org/officeDocument/2006/relationships/image" Target="media/image38.png"/><Relationship Id="rId63" Type="http://schemas.openxmlformats.org/officeDocument/2006/relationships/image" Target="media/image39.png"/><Relationship Id="rId64" Type="http://schemas.openxmlformats.org/officeDocument/2006/relationships/image" Target="media/image40.png"/><Relationship Id="rId65" Type="http://schemas.openxmlformats.org/officeDocument/2006/relationships/image" Target="media/image41.png"/><Relationship Id="rId66" Type="http://schemas.openxmlformats.org/officeDocument/2006/relationships/image" Target="media/image42.png"/><Relationship Id="rId67" Type="http://schemas.openxmlformats.org/officeDocument/2006/relationships/image" Target="media/image43.png"/><Relationship Id="rId68" Type="http://schemas.openxmlformats.org/officeDocument/2006/relationships/image" Target="media/image44.png"/><Relationship Id="rId69" Type="http://schemas.openxmlformats.org/officeDocument/2006/relationships/image" Target="media/image45.png"/><Relationship Id="rId70" Type="http://schemas.openxmlformats.org/officeDocument/2006/relationships/image" Target="media/image46.png"/><Relationship Id="rId71" Type="http://schemas.openxmlformats.org/officeDocument/2006/relationships/image" Target="media/image47.png"/><Relationship Id="rId72" Type="http://schemas.openxmlformats.org/officeDocument/2006/relationships/image" Target="media/image48.png"/><Relationship Id="rId73" Type="http://schemas.openxmlformats.org/officeDocument/2006/relationships/image" Target="media/image49.jpeg"/><Relationship Id="rId74" Type="http://schemas.openxmlformats.org/officeDocument/2006/relationships/image" Target="media/image50.png"/><Relationship Id="rId75" Type="http://schemas.openxmlformats.org/officeDocument/2006/relationships/image" Target="media/image51.png"/><Relationship Id="rId76" Type="http://schemas.openxmlformats.org/officeDocument/2006/relationships/image" Target="media/image52.png"/><Relationship Id="rId77" Type="http://schemas.openxmlformats.org/officeDocument/2006/relationships/image" Target="media/image53.png"/><Relationship Id="rId78" Type="http://schemas.openxmlformats.org/officeDocument/2006/relationships/image" Target="media/image54.png"/><Relationship Id="rId79" Type="http://schemas.openxmlformats.org/officeDocument/2006/relationships/image" Target="media/image55.png"/><Relationship Id="rId80" Type="http://schemas.openxmlformats.org/officeDocument/2006/relationships/image" Target="media/image56.png"/><Relationship Id="rId81" Type="http://schemas.openxmlformats.org/officeDocument/2006/relationships/image" Target="media/image57.png"/><Relationship Id="rId82" Type="http://schemas.openxmlformats.org/officeDocument/2006/relationships/image" Target="media/image58.png"/><Relationship Id="rId83" Type="http://schemas.openxmlformats.org/officeDocument/2006/relationships/image" Target="media/image59.png"/><Relationship Id="rId84" Type="http://schemas.openxmlformats.org/officeDocument/2006/relationships/image" Target="media/image60.png"/><Relationship Id="rId85" Type="http://schemas.openxmlformats.org/officeDocument/2006/relationships/image" Target="media/image61.png"/><Relationship Id="rId86" Type="http://schemas.openxmlformats.org/officeDocument/2006/relationships/image" Target="media/image62.png"/><Relationship Id="rId87" Type="http://schemas.openxmlformats.org/officeDocument/2006/relationships/image" Target="media/image63.png"/><Relationship Id="rId88" Type="http://schemas.openxmlformats.org/officeDocument/2006/relationships/image" Target="media/image64.png"/><Relationship Id="rId89" Type="http://schemas.openxmlformats.org/officeDocument/2006/relationships/image" Target="media/image65.png"/><Relationship Id="rId90" Type="http://schemas.openxmlformats.org/officeDocument/2006/relationships/image" Target="media/image66.png"/><Relationship Id="rId91" Type="http://schemas.openxmlformats.org/officeDocument/2006/relationships/image" Target="media/image67.png"/><Relationship Id="rId92" Type="http://schemas.openxmlformats.org/officeDocument/2006/relationships/image" Target="media/image68.png"/><Relationship Id="rId93" Type="http://schemas.openxmlformats.org/officeDocument/2006/relationships/image" Target="media/image69.png"/><Relationship Id="rId94" Type="http://schemas.openxmlformats.org/officeDocument/2006/relationships/image" Target="media/image70.png"/><Relationship Id="rId95" Type="http://schemas.openxmlformats.org/officeDocument/2006/relationships/image" Target="media/image71.png"/><Relationship Id="rId96" Type="http://schemas.openxmlformats.org/officeDocument/2006/relationships/image" Target="media/image72.png"/><Relationship Id="rId97" Type="http://schemas.openxmlformats.org/officeDocument/2006/relationships/image" Target="media/image73.png"/><Relationship Id="rId98" Type="http://schemas.openxmlformats.org/officeDocument/2006/relationships/image" Target="media/image74.png"/><Relationship Id="rId99" Type="http://schemas.openxmlformats.org/officeDocument/2006/relationships/image" Target="media/image75.png"/><Relationship Id="rId100" Type="http://schemas.openxmlformats.org/officeDocument/2006/relationships/image" Target="media/image76.png"/><Relationship Id="rId101" Type="http://schemas.openxmlformats.org/officeDocument/2006/relationships/image" Target="media/image77.png"/><Relationship Id="rId102" Type="http://schemas.openxmlformats.org/officeDocument/2006/relationships/image" Target="media/image78.png"/><Relationship Id="rId103" Type="http://schemas.openxmlformats.org/officeDocument/2006/relationships/image" Target="media/image79.png"/><Relationship Id="rId104" Type="http://schemas.openxmlformats.org/officeDocument/2006/relationships/image" Target="media/image80.png"/><Relationship Id="rId105" Type="http://schemas.openxmlformats.org/officeDocument/2006/relationships/image" Target="media/image81.png"/><Relationship Id="rId110" Type="http://schemas.openxmlformats.org/officeDocument/2006/relationships/image" Target="media/image82.png"/><Relationship Id="rId111" Type="http://schemas.openxmlformats.org/officeDocument/2006/relationships/image" Target="media/image83.png"/><Relationship Id="rId112" Type="http://schemas.openxmlformats.org/officeDocument/2006/relationships/image" Target="media/image84.png"/><Relationship Id="rId113" Type="http://schemas.openxmlformats.org/officeDocument/2006/relationships/image" Target="media/image85.png"/><Relationship Id="rId114" Type="http://schemas.openxmlformats.org/officeDocument/2006/relationships/image" Target="media/image86.png"/><Relationship Id="rId115" Type="http://schemas.openxmlformats.org/officeDocument/2006/relationships/image" Target="media/image87.png"/><Relationship Id="rId116" Type="http://schemas.openxmlformats.org/officeDocument/2006/relationships/image" Target="media/image88.png"/><Relationship Id="rId117" Type="http://schemas.openxmlformats.org/officeDocument/2006/relationships/image" Target="media/image89.png"/><Relationship Id="rId118" Type="http://schemas.openxmlformats.org/officeDocument/2006/relationships/image" Target="media/image90.png"/><Relationship Id="rId119" Type="http://schemas.openxmlformats.org/officeDocument/2006/relationships/image" Target="media/image91.png"/><Relationship Id="rId120" Type="http://schemas.openxmlformats.org/officeDocument/2006/relationships/image" Target="media/image92.png"/><Relationship Id="rId121" Type="http://schemas.openxmlformats.org/officeDocument/2006/relationships/image" Target="media/image93.png"/><Relationship Id="rId122" Type="http://schemas.openxmlformats.org/officeDocument/2006/relationships/image" Target="media/image94.png"/><Relationship Id="rId123" Type="http://schemas.openxmlformats.org/officeDocument/2006/relationships/image" Target="media/image95.png"/><Relationship Id="rId124" Type="http://schemas.openxmlformats.org/officeDocument/2006/relationships/image" Target="media/image96.png"/><Relationship Id="rId125" Type="http://schemas.openxmlformats.org/officeDocument/2006/relationships/image" Target="media/image97.png"/><Relationship Id="rId126" Type="http://schemas.openxmlformats.org/officeDocument/2006/relationships/image" Target="media/image98.png"/><Relationship Id="rId127" Type="http://schemas.openxmlformats.org/officeDocument/2006/relationships/image" Target="media/image99.png"/><Relationship Id="rId128" Type="http://schemas.openxmlformats.org/officeDocument/2006/relationships/image" Target="media/image100.png"/><Relationship Id="rId129" Type="http://schemas.openxmlformats.org/officeDocument/2006/relationships/image" Target="media/image101.png"/><Relationship Id="rId130" Type="http://schemas.openxmlformats.org/officeDocument/2006/relationships/image" Target="media/image102.png"/><Relationship Id="rId131" Type="http://schemas.openxmlformats.org/officeDocument/2006/relationships/image" Target="media/image103.png"/><Relationship Id="rId132" Type="http://schemas.openxmlformats.org/officeDocument/2006/relationships/image" Target="media/image104.png"/><Relationship Id="rId133" Type="http://schemas.openxmlformats.org/officeDocument/2006/relationships/image" Target="media/image105.png"/><Relationship Id="rId134" Type="http://schemas.openxmlformats.org/officeDocument/2006/relationships/image" Target="media/image106.png"/><Relationship Id="rId135" Type="http://schemas.openxmlformats.org/officeDocument/2006/relationships/image" Target="media/image107.png"/><Relationship Id="rId136" Type="http://schemas.openxmlformats.org/officeDocument/2006/relationships/image" Target="media/image108.png"/><Relationship Id="rId137" Type="http://schemas.openxmlformats.org/officeDocument/2006/relationships/image" Target="media/image109.png"/><Relationship Id="rId138" Type="http://schemas.openxmlformats.org/officeDocument/2006/relationships/image" Target="media/image110.png"/><Relationship Id="rId139" Type="http://schemas.openxmlformats.org/officeDocument/2006/relationships/image" Target="media/image111.png"/><Relationship Id="rId140" Type="http://schemas.openxmlformats.org/officeDocument/2006/relationships/image" Target="media/image112.png"/><Relationship Id="rId141" Type="http://schemas.openxmlformats.org/officeDocument/2006/relationships/image" Target="media/image113.png"/><Relationship Id="rId142" Type="http://schemas.openxmlformats.org/officeDocument/2006/relationships/image" Target="media/image114.png"/><Relationship Id="rId143" Type="http://schemas.openxmlformats.org/officeDocument/2006/relationships/image" Target="media/image115.png"/><Relationship Id="rId144" Type="http://schemas.openxmlformats.org/officeDocument/2006/relationships/image" Target="media/image116.png"/><Relationship Id="rId145" Type="http://schemas.openxmlformats.org/officeDocument/2006/relationships/image" Target="media/image117.png"/><Relationship Id="rId146" Type="http://schemas.openxmlformats.org/officeDocument/2006/relationships/image" Target="media/image118.png"/><Relationship Id="rId147" Type="http://schemas.openxmlformats.org/officeDocument/2006/relationships/image" Target="media/image119.png"/><Relationship Id="rId148" Type="http://schemas.openxmlformats.org/officeDocument/2006/relationships/image" Target="media/image120.png"/><Relationship Id="rId149" Type="http://schemas.openxmlformats.org/officeDocument/2006/relationships/image" Target="media/image121.png"/><Relationship Id="rId150" Type="http://schemas.openxmlformats.org/officeDocument/2006/relationships/image" Target="media/image122.png"/><Relationship Id="rId151" Type="http://schemas.openxmlformats.org/officeDocument/2006/relationships/image" Target="media/image123.png"/><Relationship Id="rId152" Type="http://schemas.openxmlformats.org/officeDocument/2006/relationships/image" Target="media/image124.png"/><Relationship Id="rId153" Type="http://schemas.openxmlformats.org/officeDocument/2006/relationships/image" Target="media/image125.png"/><Relationship Id="rId154" Type="http://schemas.openxmlformats.org/officeDocument/2006/relationships/image" Target="media/image126.png"/><Relationship Id="rId155" Type="http://schemas.openxmlformats.org/officeDocument/2006/relationships/image" Target="media/image127.png"/><Relationship Id="rId156" Type="http://schemas.openxmlformats.org/officeDocument/2006/relationships/image" Target="media/image128.png"/><Relationship Id="rId157" Type="http://schemas.openxmlformats.org/officeDocument/2006/relationships/image" Target="media/image129.png"/><Relationship Id="rId158" Type="http://schemas.openxmlformats.org/officeDocument/2006/relationships/image" Target="media/image130.png"/><Relationship Id="rId159" Type="http://schemas.openxmlformats.org/officeDocument/2006/relationships/image" Target="media/image131.png"/><Relationship Id="rId160" Type="http://schemas.openxmlformats.org/officeDocument/2006/relationships/image" Target="media/image132.png"/><Relationship Id="rId161" Type="http://schemas.openxmlformats.org/officeDocument/2006/relationships/image" Target="media/image133.png"/><Relationship Id="rId162" Type="http://schemas.openxmlformats.org/officeDocument/2006/relationships/image" Target="media/image134.png"/><Relationship Id="rId163" Type="http://schemas.openxmlformats.org/officeDocument/2006/relationships/image" Target="media/image135.png"/><Relationship Id="rId164" Type="http://schemas.openxmlformats.org/officeDocument/2006/relationships/image" Target="media/image136.png"/><Relationship Id="rId165" Type="http://schemas.openxmlformats.org/officeDocument/2006/relationships/image" Target="media/image137.png"/><Relationship Id="rId166" Type="http://schemas.openxmlformats.org/officeDocument/2006/relationships/image" Target="media/image138.png"/><Relationship Id="rId167" Type="http://schemas.openxmlformats.org/officeDocument/2006/relationships/image" Target="media/image139.png"/><Relationship Id="rId168" Type="http://schemas.openxmlformats.org/officeDocument/2006/relationships/image" Target="media/image140.png"/><Relationship Id="rId169" Type="http://schemas.openxmlformats.org/officeDocument/2006/relationships/image" Target="media/image141.png"/><Relationship Id="rId170" Type="http://schemas.openxmlformats.org/officeDocument/2006/relationships/image" Target="media/image142.png"/><Relationship Id="rId171" Type="http://schemas.openxmlformats.org/officeDocument/2006/relationships/image" Target="media/image143.png"/><Relationship Id="rId172" Type="http://schemas.openxmlformats.org/officeDocument/2006/relationships/image" Target="media/image144.png"/><Relationship Id="rId173" Type="http://schemas.openxmlformats.org/officeDocument/2006/relationships/image" Target="media/image145.png"/><Relationship Id="rId174" Type="http://schemas.openxmlformats.org/officeDocument/2006/relationships/image" Target="media/image146.png"/><Relationship Id="rId175" Type="http://schemas.openxmlformats.org/officeDocument/2006/relationships/image" Target="media/image147.png"/><Relationship Id="rId176" Type="http://schemas.openxmlformats.org/officeDocument/2006/relationships/image" Target="media/image148.png"/><Relationship Id="rId177" Type="http://schemas.openxmlformats.org/officeDocument/2006/relationships/image" Target="media/image149.png"/><Relationship Id="rId178" Type="http://schemas.openxmlformats.org/officeDocument/2006/relationships/image" Target="media/image150.png"/><Relationship Id="rId179" Type="http://schemas.openxmlformats.org/officeDocument/2006/relationships/image" Target="media/image151.png"/><Relationship Id="rId180" Type="http://schemas.openxmlformats.org/officeDocument/2006/relationships/image" Target="media/image152.png"/><Relationship Id="rId181" Type="http://schemas.openxmlformats.org/officeDocument/2006/relationships/image" Target="media/image153.png"/><Relationship Id="rId182" Type="http://schemas.openxmlformats.org/officeDocument/2006/relationships/image" Target="media/image154.png"/><Relationship Id="rId183" Type="http://schemas.openxmlformats.org/officeDocument/2006/relationships/image" Target="media/image155.png"/><Relationship Id="rId184" Type="http://schemas.openxmlformats.org/officeDocument/2006/relationships/image" Target="media/image156.png"/><Relationship Id="rId185" Type="http://schemas.openxmlformats.org/officeDocument/2006/relationships/image" Target="media/image157.png"/><Relationship Id="rId186" Type="http://schemas.openxmlformats.org/officeDocument/2006/relationships/image" Target="media/image158.png"/><Relationship Id="rId187" Type="http://schemas.openxmlformats.org/officeDocument/2006/relationships/image" Target="media/image159.png"/><Relationship Id="rId188" Type="http://schemas.openxmlformats.org/officeDocument/2006/relationships/image" Target="media/image160.png"/><Relationship Id="rId189" Type="http://schemas.openxmlformats.org/officeDocument/2006/relationships/image" Target="media/image161.png"/><Relationship Id="rId190" Type="http://schemas.openxmlformats.org/officeDocument/2006/relationships/image" Target="media/image162.png"/><Relationship Id="rId191" Type="http://schemas.openxmlformats.org/officeDocument/2006/relationships/image" Target="media/image163.png"/><Relationship Id="rId192" Type="http://schemas.openxmlformats.org/officeDocument/2006/relationships/image" Target="media/image164.png"/><Relationship Id="rId193" Type="http://schemas.openxmlformats.org/officeDocument/2006/relationships/image" Target="media/image165.png"/><Relationship Id="rId194" Type="http://schemas.openxmlformats.org/officeDocument/2006/relationships/image" Target="media/image166.png"/><Relationship Id="rId195" Type="http://schemas.openxmlformats.org/officeDocument/2006/relationships/image" Target="media/image167.png"/><Relationship Id="rId196" Type="http://schemas.openxmlformats.org/officeDocument/2006/relationships/image" Target="media/image168.png"/><Relationship Id="rId197" Type="http://schemas.openxmlformats.org/officeDocument/2006/relationships/image" Target="media/image169.png"/><Relationship Id="rId198" Type="http://schemas.openxmlformats.org/officeDocument/2006/relationships/image" Target="media/image170.png"/><Relationship Id="rId199" Type="http://schemas.openxmlformats.org/officeDocument/2006/relationships/image" Target="media/image171.png"/><Relationship Id="rId200" Type="http://schemas.openxmlformats.org/officeDocument/2006/relationships/image" Target="media/image172.png"/><Relationship Id="rId201" Type="http://schemas.openxmlformats.org/officeDocument/2006/relationships/image" Target="media/image173.png"/><Relationship Id="rId202" Type="http://schemas.openxmlformats.org/officeDocument/2006/relationships/image" Target="media/image174.png"/><Relationship Id="rId203" Type="http://schemas.openxmlformats.org/officeDocument/2006/relationships/image" Target="media/image175.png"/><Relationship Id="rId204" Type="http://schemas.openxmlformats.org/officeDocument/2006/relationships/image" Target="media/image176.png"/><Relationship Id="rId205" Type="http://schemas.openxmlformats.org/officeDocument/2006/relationships/image" Target="media/image177.png"/><Relationship Id="rId206" Type="http://schemas.openxmlformats.org/officeDocument/2006/relationships/image" Target="media/image178.png"/><Relationship Id="rId207" Type="http://schemas.openxmlformats.org/officeDocument/2006/relationships/image" Target="media/image179.png"/><Relationship Id="rId208" Type="http://schemas.openxmlformats.org/officeDocument/2006/relationships/image" Target="media/image180.png"/><Relationship Id="rId209" Type="http://schemas.openxmlformats.org/officeDocument/2006/relationships/image" Target="media/image181.png"/><Relationship Id="rId210" Type="http://schemas.openxmlformats.org/officeDocument/2006/relationships/image" Target="media/image182.png"/><Relationship Id="rId211" Type="http://schemas.openxmlformats.org/officeDocument/2006/relationships/image" Target="media/image183.png"/><Relationship Id="rId212" Type="http://schemas.openxmlformats.org/officeDocument/2006/relationships/image" Target="media/image184.png"/><Relationship Id="rId213" Type="http://schemas.openxmlformats.org/officeDocument/2006/relationships/image" Target="media/image185.png"/><Relationship Id="rId214" Type="http://schemas.openxmlformats.org/officeDocument/2006/relationships/image" Target="media/image186.png"/><Relationship Id="rId215" Type="http://schemas.openxmlformats.org/officeDocument/2006/relationships/image" Target="media/image187.png"/><Relationship Id="rId216" Type="http://schemas.openxmlformats.org/officeDocument/2006/relationships/image" Target="media/image188.png"/><Relationship Id="rId217" Type="http://schemas.openxmlformats.org/officeDocument/2006/relationships/image" Target="media/image189.png"/><Relationship Id="rId218" Type="http://schemas.openxmlformats.org/officeDocument/2006/relationships/image" Target="media/image190.png"/><Relationship Id="rId219" Type="http://schemas.openxmlformats.org/officeDocument/2006/relationships/image" Target="media/image191.png"/><Relationship Id="rId220" Type="http://schemas.openxmlformats.org/officeDocument/2006/relationships/image" Target="media/image192.png"/><Relationship Id="rId221" Type="http://schemas.openxmlformats.org/officeDocument/2006/relationships/image" Target="media/image193.png"/><Relationship Id="rId222" Type="http://schemas.openxmlformats.org/officeDocument/2006/relationships/image" Target="media/image194.png"/><Relationship Id="rId223" Type="http://schemas.openxmlformats.org/officeDocument/2006/relationships/image" Target="media/image195.png"/><Relationship Id="rId224" Type="http://schemas.openxmlformats.org/officeDocument/2006/relationships/image" Target="media/image196.png"/><Relationship Id="rId225" Type="http://schemas.openxmlformats.org/officeDocument/2006/relationships/image" Target="media/image197.png"/><Relationship Id="rId226" Type="http://schemas.openxmlformats.org/officeDocument/2006/relationships/image" Target="media/image198.png"/><Relationship Id="rId227" Type="http://schemas.openxmlformats.org/officeDocument/2006/relationships/image" Target="media/image199.png"/><Relationship Id="rId228" Type="http://schemas.openxmlformats.org/officeDocument/2006/relationships/image" Target="media/image200.png"/><Relationship Id="rId229" Type="http://schemas.openxmlformats.org/officeDocument/2006/relationships/image" Target="media/image201.png"/><Relationship Id="rId230" Type="http://schemas.openxmlformats.org/officeDocument/2006/relationships/image" Target="media/image202.png"/><Relationship Id="rId231" Type="http://schemas.openxmlformats.org/officeDocument/2006/relationships/image" Target="media/image203.png"/><Relationship Id="rId232" Type="http://schemas.openxmlformats.org/officeDocument/2006/relationships/image" Target="media/image204.png"/><Relationship Id="rId233" Type="http://schemas.openxmlformats.org/officeDocument/2006/relationships/image" Target="media/image205.jpeg"/><Relationship Id="rId234" Type="http://schemas.openxmlformats.org/officeDocument/2006/relationships/image" Target="media/image206.png"/><Relationship Id="rId235" Type="http://schemas.openxmlformats.org/officeDocument/2006/relationships/image" Target="media/image207.jpeg"/><Relationship Id="rId236" Type="http://schemas.openxmlformats.org/officeDocument/2006/relationships/image" Target="media/image208.png"/><Relationship Id="rId237" Type="http://schemas.openxmlformats.org/officeDocument/2006/relationships/image" Target="media/image209.jpeg"/><Relationship Id="rId238" Type="http://schemas.openxmlformats.org/officeDocument/2006/relationships/image" Target="media/image210.png"/><Relationship Id="rId239" Type="http://schemas.openxmlformats.org/officeDocument/2006/relationships/image" Target="media/image211.jpeg"/><Relationship Id="rId240" Type="http://schemas.openxmlformats.org/officeDocument/2006/relationships/image" Target="media/image212.jpeg"/><Relationship Id="rId241" Type="http://schemas.openxmlformats.org/officeDocument/2006/relationships/image" Target="media/image213.png"/><Relationship Id="rId242" Type="http://schemas.openxmlformats.org/officeDocument/2006/relationships/image" Target="media/image214.jpeg"/><Relationship Id="rId243" Type="http://schemas.openxmlformats.org/officeDocument/2006/relationships/image" Target="media/image215.png"/><Relationship Id="rId27" Type="http://schemas.openxmlformats.org/officeDocument/2006/relationships/hyperlink" Target="http://www.sec.gov/Archives/edgar/data/1492674/000095017024039310/ttoo-20231231.htm" TargetMode="External"/><Relationship Id="rId28" Type="http://schemas.openxmlformats.org/officeDocument/2006/relationships/hyperlink" Target="http://www.sec.gov/Archives/edgar/data/1492674/000095017024053693/ttoo-20240331.htm" TargetMode="External"/><Relationship Id="rId30" Type="http://schemas.openxmlformats.org/officeDocument/2006/relationships/hyperlink" Target="http://www.sec.gov/Archives/edgar/data/1492674/000119312524003341/d109352d8k.htm" TargetMode="External"/><Relationship Id="rId31" Type="http://schemas.openxmlformats.org/officeDocument/2006/relationships/hyperlink" Target="http://www.sec.gov/Archives/edgar/data/1492674/000119312524037618/d793503d8k.htm" TargetMode="External"/><Relationship Id="rId32" Type="http://schemas.openxmlformats.org/officeDocument/2006/relationships/hyperlink" Target="http://www.sec.gov/Archives/edgar/data/1492674/000119312524065471/d759790d8k.htm" TargetMode="External"/><Relationship Id="rId33" Type="http://schemas.openxmlformats.org/officeDocument/2006/relationships/hyperlink" Target="http://www.sec.gov/Archives/edgar/data/1492674/000119312524069715/d784398d8k.htm" TargetMode="External"/><Relationship Id="rId34" Type="http://schemas.openxmlformats.org/officeDocument/2006/relationships/hyperlink" Target="http://www.sec.gov/Archives/edgar/data/1492674/000119312524072143/d812390d8k.htm" TargetMode="External"/><Relationship Id="rId35" Type="http://schemas.openxmlformats.org/officeDocument/2006/relationships/hyperlink" Target="http://www.sec.gov/Archives/edgar/data/1492674/000119312524080700/d784317d8k.htm" TargetMode="External"/><Relationship Id="rId36" Type="http://schemas.openxmlformats.org/officeDocument/2006/relationships/hyperlink" Target="http://www.sec.gov/Archives/edgar/data/1492674/000119312524094802/d743921d8k.htm" TargetMode="External"/><Relationship Id="rId37" Type="http://schemas.openxmlformats.org/officeDocument/2006/relationships/hyperlink" Target="http://www.sec.gov/Archives/edgar/data/1492674/000119312524100790/d786433d8k.htm" TargetMode="External"/><Relationship Id="rId38" Type="http://schemas.openxmlformats.org/officeDocument/2006/relationships/hyperlink" Target="http://www.sec.gov/Archives/edgar/data/1492674/000119312524132060/d793513d8k.htm" TargetMode="External"/><Relationship Id="rId39" Type="http://schemas.openxmlformats.org/officeDocument/2006/relationships/hyperlink" Target="http://www.sec.gov/Archives/edgar/data/1492674/000119312524133244/d833912d8k.htm" TargetMode="External"/><Relationship Id="rId40" Type="http://schemas.openxmlformats.org/officeDocument/2006/relationships/hyperlink" Target="http://www.sec.gov/Archives/edgar/data/1492674/000119312524138321/d836013d8k.htm" TargetMode="External"/><Relationship Id="rId41" Type="http://schemas.openxmlformats.org/officeDocument/2006/relationships/hyperlink" Target="http://www.sec.gov/Archives/edgar/data/1492674/000119312524142204/d801571d8k.htm" TargetMode="External"/><Relationship Id="rId42" Type="http://schemas.openxmlformats.org/officeDocument/2006/relationships/hyperlink" Target="http://www.sec.gov/Archives/edgar/data/1492674/000119312524145025/d822274d8k.htm" TargetMode="External"/><Relationship Id="rId43" Type="http://schemas.openxmlformats.org/officeDocument/2006/relationships/hyperlink" Target="http://www.sec.gov/ix?doc=/Archives/edgar/data/1492674/000119312524181657/d856117d8k.htm" TargetMode="External"/><Relationship Id="rId44" Type="http://schemas.openxmlformats.org/officeDocument/2006/relationships/hyperlink" Target="http://www.sec.gov/Archives/edgar/data/1492674/000110465914053745/a14-10836_68a12b.htm" TargetMode="External"/><Relationship Id="rId106" Type="http://schemas.openxmlformats.org/officeDocument/2006/relationships/hyperlink" Target="http://www.sec.gov/Archives/edgar/data/1492674/000110465914059947/a14-18838_1ex3d1.htm" TargetMode="External"/><Relationship Id="rId107" Type="http://schemas.openxmlformats.org/officeDocument/2006/relationships/hyperlink" Target="http://www.sec.gov/Archives/edgar/data/1492674/000119312521222976/d92089dex31.htm" TargetMode="External"/><Relationship Id="rId108" Type="http://schemas.openxmlformats.org/officeDocument/2006/relationships/hyperlink" Target="http://www.sec.gov/Archives/edgar/data/1492674/000119312522261285/d409744dex31.htm" TargetMode="External"/><Relationship Id="rId109" Type="http://schemas.openxmlformats.org/officeDocument/2006/relationships/hyperlink" Target="http://www.sec.gov/Archives/edgar/data/1492674/000104746914006416/a2220844z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2024-07-19T16:32:46Z</dcterms:created>
  <dcterms:modified xsi:type="dcterms:W3CDTF">2024-07-19T16:32:46Z</dcterms:modified>
</cp:coreProperties>
</file>